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4"/>
        <w:gridCol w:w="3114"/>
        <w:gridCol w:w="1668"/>
      </w:tblGrid>
      <w:tr w:rsidR="00E61BB6" w:rsidRPr="00370C68" w14:paraId="0CB9B305" w14:textId="77777777" w:rsidTr="00E61BB6">
        <w:tc>
          <w:tcPr>
            <w:tcW w:w="4244" w:type="dxa"/>
          </w:tcPr>
          <w:p w14:paraId="53BB5364" w14:textId="77777777" w:rsidR="00E61BB6" w:rsidRPr="00120E94" w:rsidRDefault="00E61BB6" w:rsidP="00E61BB6"/>
        </w:tc>
        <w:tc>
          <w:tcPr>
            <w:tcW w:w="4782" w:type="dxa"/>
            <w:gridSpan w:val="2"/>
          </w:tcPr>
          <w:p w14:paraId="547AF945" w14:textId="77777777" w:rsidR="00E61BB6" w:rsidRPr="00370C68" w:rsidRDefault="00E61BB6" w:rsidP="00E61BB6"/>
        </w:tc>
      </w:tr>
      <w:tr w:rsidR="00E61BB6" w:rsidRPr="00370C68" w14:paraId="7ECD8C9D" w14:textId="77777777" w:rsidTr="00E61BB6">
        <w:tc>
          <w:tcPr>
            <w:tcW w:w="4244" w:type="dxa"/>
          </w:tcPr>
          <w:p w14:paraId="4B159052" w14:textId="77777777" w:rsidR="00E61BB6" w:rsidRPr="00370C68" w:rsidRDefault="00E61BB6" w:rsidP="00E61BB6"/>
        </w:tc>
        <w:tc>
          <w:tcPr>
            <w:tcW w:w="4782" w:type="dxa"/>
            <w:gridSpan w:val="2"/>
          </w:tcPr>
          <w:p w14:paraId="154E7AE6" w14:textId="77777777" w:rsidR="00E61BB6" w:rsidRPr="00370C68" w:rsidRDefault="00E61BB6" w:rsidP="00E61BB6">
            <w:pPr>
              <w:jc w:val="right"/>
              <w:rPr>
                <w:vanish/>
              </w:rPr>
            </w:pPr>
          </w:p>
        </w:tc>
      </w:tr>
      <w:tr w:rsidR="00E61BB6" w:rsidRPr="00370C68" w14:paraId="77A16AC2" w14:textId="77777777" w:rsidTr="00E61BB6">
        <w:tc>
          <w:tcPr>
            <w:tcW w:w="4244" w:type="dxa"/>
          </w:tcPr>
          <w:p w14:paraId="2E9852AE" w14:textId="77777777" w:rsidR="00E61BB6" w:rsidRDefault="00E61BB6" w:rsidP="00E61BB6">
            <w:pPr>
              <w:rPr>
                <w:sz w:val="20"/>
                <w:szCs w:val="20"/>
              </w:rPr>
            </w:pPr>
          </w:p>
        </w:tc>
        <w:tc>
          <w:tcPr>
            <w:tcW w:w="3114" w:type="dxa"/>
          </w:tcPr>
          <w:p w14:paraId="24A8A991" w14:textId="77777777" w:rsidR="00E61BB6" w:rsidRPr="00370C68" w:rsidRDefault="00E61BB6" w:rsidP="00E61BB6">
            <w:pPr>
              <w:rPr>
                <w:sz w:val="20"/>
                <w:szCs w:val="20"/>
              </w:rPr>
            </w:pPr>
          </w:p>
        </w:tc>
        <w:tc>
          <w:tcPr>
            <w:tcW w:w="1668" w:type="dxa"/>
          </w:tcPr>
          <w:p w14:paraId="757DD6AC" w14:textId="77777777" w:rsidR="00E61BB6" w:rsidRPr="00370C68" w:rsidRDefault="00E61BB6" w:rsidP="00E61BB6">
            <w:pPr>
              <w:rPr>
                <w:sz w:val="20"/>
                <w:szCs w:val="20"/>
              </w:rPr>
            </w:pPr>
          </w:p>
        </w:tc>
      </w:tr>
      <w:tr w:rsidR="00E61BB6" w:rsidRPr="00370C68" w14:paraId="31C416CF" w14:textId="77777777" w:rsidTr="00E61BB6">
        <w:tc>
          <w:tcPr>
            <w:tcW w:w="4244" w:type="dxa"/>
          </w:tcPr>
          <w:p w14:paraId="0689926F" w14:textId="77777777" w:rsidR="00E61BB6" w:rsidRDefault="00E61BB6" w:rsidP="00E61BB6">
            <w:pPr>
              <w:rPr>
                <w:sz w:val="20"/>
                <w:szCs w:val="20"/>
              </w:rPr>
            </w:pPr>
          </w:p>
        </w:tc>
        <w:tc>
          <w:tcPr>
            <w:tcW w:w="3114" w:type="dxa"/>
          </w:tcPr>
          <w:p w14:paraId="66C36CD6" w14:textId="77777777" w:rsidR="00E61BB6" w:rsidRPr="00370C68" w:rsidRDefault="00E61BB6" w:rsidP="00E61BB6">
            <w:pPr>
              <w:rPr>
                <w:sz w:val="20"/>
                <w:szCs w:val="20"/>
              </w:rPr>
            </w:pPr>
          </w:p>
        </w:tc>
        <w:tc>
          <w:tcPr>
            <w:tcW w:w="1668" w:type="dxa"/>
          </w:tcPr>
          <w:p w14:paraId="723336A4" w14:textId="77777777" w:rsidR="00E61BB6" w:rsidRPr="00370C68" w:rsidRDefault="00E61BB6" w:rsidP="00E61BB6">
            <w:pPr>
              <w:rPr>
                <w:sz w:val="20"/>
                <w:szCs w:val="20"/>
              </w:rPr>
            </w:pPr>
          </w:p>
        </w:tc>
      </w:tr>
    </w:tbl>
    <w:p w14:paraId="62E3B478" w14:textId="0484A90C" w:rsidR="00FE5529" w:rsidRPr="00370C68" w:rsidRDefault="00FE5529" w:rsidP="0000266B">
      <w:pPr>
        <w:pStyle w:val="Brdtekst"/>
      </w:pPr>
    </w:p>
    <w:p w14:paraId="67C53C96" w14:textId="08C431B5" w:rsidR="003D3C0A" w:rsidRDefault="00E61BB6" w:rsidP="00E61BB6">
      <w:pPr>
        <w:pStyle w:val="Brdtekst"/>
        <w:rPr>
          <w:b/>
          <w:bCs/>
          <w:color w:val="000000" w:themeColor="text1"/>
          <w:sz w:val="32"/>
          <w:szCs w:val="32"/>
        </w:rPr>
      </w:pPr>
      <w:r w:rsidRPr="00E61BB6">
        <w:rPr>
          <w:b/>
          <w:bCs/>
          <w:color w:val="000000" w:themeColor="text1"/>
          <w:sz w:val="32"/>
          <w:szCs w:val="32"/>
        </w:rPr>
        <w:t>Høringssvar til «Forslag til endringer i opplæringsloven og privatskoleloven om adgang til å pålegge opplæring utenfor egen gruppe for en begrenset periode»</w:t>
      </w:r>
    </w:p>
    <w:p w14:paraId="2E78ABE6" w14:textId="15F53E78" w:rsidR="008A58F4" w:rsidRDefault="008A58F4" w:rsidP="008A58F4">
      <w:pPr>
        <w:pStyle w:val="Brdtekst"/>
      </w:pPr>
      <w:r>
        <w:t>Likestillings- og diskrimineringsombudet (heretter ombudet) har som mandat å arbeide for likestilling og mot diskriminering på grunnlag av blant annet funksjonsnedsettelse. Ombudet har også tilsynsansvar med at norsk rett og forvaltningspraksis er i samsvar med de forpliktelsene Norge har etter FNs diskrimineringskonvensjoner, inkludert konvensjonen om rettighetene til personer med nedsatt funksjonsevne (CRPD). Vi gir i tillegg veiledning til alle som tar kontakt med spørsmål om likestilling og diskriminering, og mottar om lag 2500 veiledningssaker i året.</w:t>
      </w:r>
    </w:p>
    <w:p w14:paraId="27613A9C" w14:textId="7E66D326" w:rsidR="008A58F4" w:rsidRDefault="008A58F4" w:rsidP="008A58F4">
      <w:pPr>
        <w:pStyle w:val="Overskrift2"/>
      </w:pPr>
      <w:r>
        <w:t>Likestillingshensyn</w:t>
      </w:r>
    </w:p>
    <w:p w14:paraId="4DFA72B2" w14:textId="63777F15" w:rsidR="008A58F4" w:rsidRDefault="008A58F4" w:rsidP="008A58F4">
      <w:pPr>
        <w:pStyle w:val="Brdtekst"/>
      </w:pPr>
      <w:r>
        <w:t>Ombudet vil i dette høringssvaret belyse likestillingshensyn vi mener gjør seg gjeldende i det foreslåtte forslaget fra departementet.</w:t>
      </w:r>
    </w:p>
    <w:p w14:paraId="069A3A9B" w14:textId="2B180216" w:rsidR="008A58F4" w:rsidRDefault="008A58F4" w:rsidP="008A58F4">
      <w:pPr>
        <w:pStyle w:val="Brdtekst"/>
      </w:pPr>
      <w:r>
        <w:t>Vi anerkjenner at dagens regelverk gir begrenset handlingsrom, og at det enkelte ganger kan være behov for å pålegge opplæring utenfor egen gruppe for en begrenset periode. Imidlertid er vi bekymret for at forslaget vil kunne gå uforholdsmessig hardt utover elever med funksjonsnedsettelse. Disse elevene møter allerede en del barrierer i utdanningsløpet, og det er viktig at forslaget ikke fører til flere. Samtidig ser vi at elever med visse typer funksjonsnedsettelse kan rammes ekstra hardt av et utfordrende og utrygt læringsmiljø, slik at forslaget også vil være i deres interesse. Det vesentlige er uansett at det må sikres en rettssikker og forsvarlig praksis. Vi mener derfor at Departementet bør følge opp følgende punkter:</w:t>
      </w:r>
    </w:p>
    <w:p w14:paraId="65C6F78A" w14:textId="77777777" w:rsidR="008A58F4" w:rsidRDefault="008A58F4" w:rsidP="008A58F4">
      <w:pPr>
        <w:pStyle w:val="Brdtekst"/>
        <w:numPr>
          <w:ilvl w:val="0"/>
          <w:numId w:val="21"/>
        </w:numPr>
      </w:pPr>
      <w:r>
        <w:t>Å skissere et estimat over hvor mange elever forslaget vil ramme</w:t>
      </w:r>
    </w:p>
    <w:p w14:paraId="1D1361EB" w14:textId="77777777" w:rsidR="008A58F4" w:rsidRDefault="008A58F4" w:rsidP="008A58F4">
      <w:pPr>
        <w:pStyle w:val="Brdtekst"/>
        <w:numPr>
          <w:ilvl w:val="0"/>
          <w:numId w:val="21"/>
        </w:numPr>
      </w:pPr>
      <w:r>
        <w:t>Å sikre at det fremgår klart av lovteksten når tiltaket kan tas i bruk</w:t>
      </w:r>
    </w:p>
    <w:p w14:paraId="0BA046B9" w14:textId="77777777" w:rsidR="008A58F4" w:rsidRDefault="008A58F4" w:rsidP="008A58F4">
      <w:pPr>
        <w:pStyle w:val="Brdtekst"/>
        <w:numPr>
          <w:ilvl w:val="0"/>
          <w:numId w:val="21"/>
        </w:numPr>
      </w:pPr>
      <w:r>
        <w:t>Å sørge for tydelige retningslinjer for hva som kan pålegges</w:t>
      </w:r>
    </w:p>
    <w:p w14:paraId="1EC5CC39" w14:textId="77777777" w:rsidR="008A58F4" w:rsidRDefault="008A58F4" w:rsidP="008A58F4">
      <w:pPr>
        <w:pStyle w:val="Brdtekst"/>
        <w:numPr>
          <w:ilvl w:val="0"/>
          <w:numId w:val="21"/>
        </w:numPr>
      </w:pPr>
      <w:r>
        <w:t>Å tydeliggjøre plikten til forebygging og en trygg tilbakeføring til klassen</w:t>
      </w:r>
    </w:p>
    <w:p w14:paraId="25387635" w14:textId="77777777" w:rsidR="008A58F4" w:rsidRDefault="008A58F4" w:rsidP="008A58F4">
      <w:pPr>
        <w:pStyle w:val="Brdtekst"/>
        <w:numPr>
          <w:ilvl w:val="0"/>
          <w:numId w:val="21"/>
        </w:numPr>
      </w:pPr>
      <w:r>
        <w:lastRenderedPageBreak/>
        <w:t>Å problematisere samspillet mellom forslaget og tilretteleggingsplikten</w:t>
      </w:r>
    </w:p>
    <w:p w14:paraId="021B9E62" w14:textId="77777777" w:rsidR="008A58F4" w:rsidRDefault="008A58F4" w:rsidP="008A58F4">
      <w:pPr>
        <w:pStyle w:val="Brdtekst"/>
        <w:numPr>
          <w:ilvl w:val="0"/>
          <w:numId w:val="21"/>
        </w:numPr>
      </w:pPr>
      <w:r>
        <w:t>Å foreta en grundig forholdsmessighetsvurdering</w:t>
      </w:r>
    </w:p>
    <w:p w14:paraId="7897C1E2" w14:textId="77777777" w:rsidR="008A58F4" w:rsidRDefault="008A58F4" w:rsidP="008A58F4">
      <w:pPr>
        <w:pStyle w:val="Brdtekst"/>
        <w:numPr>
          <w:ilvl w:val="0"/>
          <w:numId w:val="21"/>
        </w:numPr>
      </w:pPr>
      <w:r>
        <w:t>Et estimat over hvor mange elever forslaget vil ramme</w:t>
      </w:r>
    </w:p>
    <w:p w14:paraId="4999F838" w14:textId="77777777" w:rsidR="003D3C0A" w:rsidRDefault="008A58F4" w:rsidP="003D3C0A">
      <w:pPr>
        <w:pStyle w:val="Brdtekst"/>
      </w:pPr>
      <w:r>
        <w:t>Den normale reaksjonen på utagerende atferd bør være tilrettelegging. Vi mener at det vil styrke forslaget dersom Departementet godtgjør at tiltaket vil tas i bruk like sjeldent som forespeilet.</w:t>
      </w:r>
    </w:p>
    <w:p w14:paraId="388F0DC5" w14:textId="189C9201" w:rsidR="008A58F4" w:rsidRDefault="008A58F4" w:rsidP="003D3C0A">
      <w:pPr>
        <w:pStyle w:val="Overskrift2"/>
      </w:pPr>
      <w:r>
        <w:t>Tydeliggjøre når tiltaket kan tas i bruk</w:t>
      </w:r>
    </w:p>
    <w:p w14:paraId="78E19DD7" w14:textId="76A56C80" w:rsidR="008A58F4" w:rsidRDefault="008A58F4" w:rsidP="008A58F4">
      <w:pPr>
        <w:pStyle w:val="Brdtekst"/>
      </w:pPr>
      <w:r>
        <w:t>Ordlyden i de foreslåtte lovbestemmelsene er skjønnsmessige. Vurderingene vil i stor grad bero på lærerens toleransevindu. Hvor går for eksempel grensen for «forstyrrende atferd»? Når er terskelen for «alvorlig» nådd? For å unngå vilkårlighet og eventuelt feilbruk bør vilkårene tydelig defineres. Ideelt sett bør de også illustreres gjennom tiltenkte typetilfeller, for eksempel gjennom en veileder til skoleeiere. Det må være enkelt for skoleeier å vurdere om et konkret tilfelle når opp til terskelen. Det må vurderes om det i den forbindelse er behov for en kompetanseheving i skolen.</w:t>
      </w:r>
    </w:p>
    <w:p w14:paraId="02714A3A" w14:textId="77777777" w:rsidR="008A58F4" w:rsidRDefault="008A58F4" w:rsidP="008A58F4">
      <w:pPr>
        <w:pStyle w:val="Overskrift2"/>
      </w:pPr>
      <w:r>
        <w:t>Tydelige retningslinjer for hva som kan pålegges</w:t>
      </w:r>
    </w:p>
    <w:p w14:paraId="65AA1FA2" w14:textId="0FF6C759" w:rsidR="008A58F4" w:rsidRDefault="008A58F4" w:rsidP="008A58F4">
      <w:pPr>
        <w:pStyle w:val="Brdtekst"/>
      </w:pPr>
      <w:r>
        <w:t>Ombudet mener at det må stilles minimumskrav til innholdet, gjennomføringen og kvaliteten i den midlertidige undervisningen. Det må være klart for skoleeier hva som kan pålegges. Vi mener at det bør tydeliggjøres i lovteksten, men et godt alternativ kan være å gi tydelige retningslinjer. Det bør minimum stilles følgende krav:</w:t>
      </w:r>
    </w:p>
    <w:p w14:paraId="4A8C6D0E" w14:textId="77777777" w:rsidR="008A58F4" w:rsidRDefault="008A58F4" w:rsidP="00D95B7B">
      <w:pPr>
        <w:pStyle w:val="Brdtekst"/>
        <w:numPr>
          <w:ilvl w:val="0"/>
          <w:numId w:val="22"/>
        </w:numPr>
      </w:pPr>
      <w:r>
        <w:t>Det må sikres at elever som har vedtak om individuelt tilrettelagt opplæring, får tilrettelegging av samme kvalitet også i perioden de tas ut av klasserommet. Vi mener at det ikke er tilstrekkelig at tilretteleggingen «så langt som mulig» følges, slik Departementet uttaler i punkt 6.3.</w:t>
      </w:r>
    </w:p>
    <w:p w14:paraId="08409ED0" w14:textId="77777777" w:rsidR="008A58F4" w:rsidRDefault="008A58F4" w:rsidP="00D95B7B">
      <w:pPr>
        <w:pStyle w:val="Brdtekst"/>
        <w:numPr>
          <w:ilvl w:val="0"/>
          <w:numId w:val="22"/>
        </w:numPr>
      </w:pPr>
      <w:r>
        <w:t>Det må sikres at tiltaket ikke blir mer inngripende enn nødvendig. Vi mener at det bør tas inn et krav i lovteksten om at tiltaket ikke skal gå «lenger enn nødvendig».</w:t>
      </w:r>
    </w:p>
    <w:p w14:paraId="3219342E" w14:textId="77777777" w:rsidR="008A58F4" w:rsidRDefault="008A58F4" w:rsidP="00D95B7B">
      <w:pPr>
        <w:pStyle w:val="Brdtekst"/>
        <w:numPr>
          <w:ilvl w:val="0"/>
          <w:numId w:val="22"/>
        </w:numPr>
      </w:pPr>
      <w:r>
        <w:t>Skoleeier må sørge for at en passende fagperson står ansvarlig for undervisningstilbudet. Forslaget mangler klare krav til kompetanse hos de som skal følge opp eleven. Uten tydelige kompetansekrav er det en risiko for store variasjoner i kvaliteten på tilbudet og at eleven ikke får den støtten de har behov for.</w:t>
      </w:r>
    </w:p>
    <w:p w14:paraId="0BF39F68" w14:textId="77777777" w:rsidR="008A58F4" w:rsidRDefault="008A58F4" w:rsidP="008A58F4">
      <w:pPr>
        <w:pStyle w:val="Overskrift2"/>
      </w:pPr>
      <w:r>
        <w:lastRenderedPageBreak/>
        <w:t>Synliggjøre plikten til forebygging og en trygg tilbakeføring</w:t>
      </w:r>
    </w:p>
    <w:p w14:paraId="07C6E72D" w14:textId="47051617" w:rsidR="008A58F4" w:rsidRDefault="008A58F4" w:rsidP="008A58F4">
      <w:pPr>
        <w:pStyle w:val="Brdtekst"/>
      </w:pPr>
      <w:r>
        <w:t>Det er viktig at skolen prøver ut ulike former for tilrettelegging i forkant og at det bygger på kunnskap om behovene til elever med funksjonsnedsettelse. For å understreke viktigheten av dette arbeidet mener vi at det bør være en egen bestemmelse om forebygging. Videre mener vi at det bør presiseres en plikt til en trygg og god tilbakeføring til klassen. Ombudets utgangspunkt er at det er hensiktsmessig at både plikten til forebygging og tilbakeføring fremgår eksplisitt av lovteksten. Alternativt bør begge deler inkluderes i den veiledningen til bestemmelsen som omtales under 6.7.2 siste avsnitt.</w:t>
      </w:r>
    </w:p>
    <w:p w14:paraId="749F67D6" w14:textId="77777777" w:rsidR="008A58F4" w:rsidRDefault="008A58F4" w:rsidP="008A58F4">
      <w:pPr>
        <w:pStyle w:val="Overskrift2"/>
      </w:pPr>
      <w:r>
        <w:t>Problematisere samspillet mellom forslaget og tilretteleggingsplikten</w:t>
      </w:r>
    </w:p>
    <w:p w14:paraId="4158038B" w14:textId="33000844" w:rsidR="008A58F4" w:rsidRDefault="008A58F4" w:rsidP="008A58F4">
      <w:pPr>
        <w:pStyle w:val="Brdtekst"/>
      </w:pPr>
      <w:r>
        <w:t>Departementer påpeker i punkt 7.2 side 32 at det «i noen tilfeller kan være en fare for at situasjoner som nødvendiggjør bruk av den foreslåtte hjemmelen oppstår fordi eleven ikke har mottatt tilrettelegging som eleven har behov for som følge av funksjonsnedsettelsen». Ombudet minner om at det å ikke få tilrettelegging man har behov for kan reise spørsmål om diskriminering, jf. likestillings- og diskrimineringsloven. Våre erfaringer fra veiledningstjenesten vår er at elever i mange sammenhenger ikke får den tilretteleggingen de har krav på. Vi ser at utfordringer med tilrettelegging ofte begynner allerede på barneskolen, og forplanter seg videre i utdanningssystemet. Det er problematisk ettersom utdanning er en forutsetning for at man etter hvert skal klare å komme seg inn på arbeidsmarkedet.</w:t>
      </w:r>
    </w:p>
    <w:p w14:paraId="7D4A1117" w14:textId="7F2B26C3" w:rsidR="008A58F4" w:rsidRDefault="008A58F4" w:rsidP="008A58F4">
      <w:pPr>
        <w:pStyle w:val="Brdtekst"/>
      </w:pPr>
      <w:r>
        <w:t xml:space="preserve">Vi minner om at CRPD artikkel 24 slår fast at elever med funksjonsnedsettelse har rett til utdanning på lik linje som alle andre. Tilrettelegging etter </w:t>
      </w:r>
      <w:proofErr w:type="spellStart"/>
      <w:r>
        <w:t>ldl</w:t>
      </w:r>
      <w:proofErr w:type="spellEnd"/>
      <w:r>
        <w:t>. § 21 er et av flere virkemidler for å sikre retten til likeverdige utdanningsmuligheter. Ombudet er bekymret for at tiltaket vil kunne bli en «sovepute» for tilrettelegging, og at man ellers ville strukket seg lenger for å forstå og møte elevens tilretteleggingsbehov.</w:t>
      </w:r>
    </w:p>
    <w:p w14:paraId="69AC9CA7" w14:textId="77777777" w:rsidR="00D95B7B" w:rsidRDefault="008A58F4" w:rsidP="008A58F4">
      <w:pPr>
        <w:pStyle w:val="Brdtekst"/>
      </w:pPr>
      <w:r>
        <w:t>Det må sikres at alle elever får den tilretteleggingen de har krav på. Vi oppfordrer til en kompetanseheving i skolen som gjør ansatte kjent med hensynene bak tilrettelegging. Det handler ikke om at elever med funksjonsnedsettelser skal få en fordel, men at de ut ifra sine forutsetninger og behov skal sikres samme muligheter som andre.</w:t>
      </w:r>
    </w:p>
    <w:p w14:paraId="63EAB557" w14:textId="45DDD120" w:rsidR="008A58F4" w:rsidRDefault="008A58F4" w:rsidP="008A58F4">
      <w:pPr>
        <w:pStyle w:val="Brdtekst"/>
      </w:pPr>
      <w:r>
        <w:t xml:space="preserve">Ombudet mener at en forutsetning for å ta i bruk tiltaket må være at skoleeier kan dokumentere hva som er forsøkt av tilrettelegging i forkant. Det må også kunne begrunnes at tilrettelegging ikke var tilstrekkelig. I tillegg må det sikres gode </w:t>
      </w:r>
      <w:r>
        <w:lastRenderedPageBreak/>
        <w:t>kontrollmekanismer som fører tilsyn med saksgangen og kontrollerer at det ikke er vektlagt utenforliggende hensyn.</w:t>
      </w:r>
    </w:p>
    <w:p w14:paraId="3E3BA6EB" w14:textId="77777777" w:rsidR="008A58F4" w:rsidRDefault="008A58F4" w:rsidP="008A58F4">
      <w:pPr>
        <w:pStyle w:val="Overskrift2"/>
      </w:pPr>
      <w:r>
        <w:t>Behov for en grundig forholdsmessighetsvurdering</w:t>
      </w:r>
    </w:p>
    <w:p w14:paraId="5D327AC6" w14:textId="4CADDBD7" w:rsidR="008A58F4" w:rsidRDefault="008A58F4" w:rsidP="008A58F4">
      <w:pPr>
        <w:pStyle w:val="Brdtekst"/>
      </w:pPr>
      <w:r>
        <w:t xml:space="preserve">Slik Departementet påpeker i punkt 7.2 på side 34 er det en risiko for at «elever med enkelte former for funksjonsnedsettelser kan være overrepresenterte blant de elevene som kan bli pålagt tiltak etter forslaget». Etter en kort vurdering har Departementet konkludert med at forskjellsbehandlingen ikke er i strid med diskrimineringsforbundet i </w:t>
      </w:r>
      <w:proofErr w:type="spellStart"/>
      <w:r>
        <w:t>ldl</w:t>
      </w:r>
      <w:proofErr w:type="spellEnd"/>
      <w:r>
        <w:t>. § 6, herunder at forslaget a) har et har et saklig formål, (b) er nødvendig for å oppnå formålet og (c) ikke er uforholdsmessig inngripende overfor de som forskjellsbehandles, jf. § 9 første ledd.</w:t>
      </w:r>
    </w:p>
    <w:p w14:paraId="402B30F2" w14:textId="4AB76DC5" w:rsidR="008A58F4" w:rsidRDefault="008A58F4" w:rsidP="008A58F4">
      <w:pPr>
        <w:pStyle w:val="Brdtekst"/>
      </w:pPr>
      <w:r>
        <w:t xml:space="preserve">Ombudet etterspør en grundigere forholdsmessighetsvurdering av hvorvidt forslaget innebærer indirekte diskriminering av elever med funksjonsnedsettelser, jf. </w:t>
      </w:r>
      <w:proofErr w:type="spellStart"/>
      <w:r>
        <w:t>ldl</w:t>
      </w:r>
      <w:proofErr w:type="spellEnd"/>
      <w:r>
        <w:t>. § 9 første ledd bokstav c). Det må foretas en reell interesseavveiing av motstridende hensyn. I avveiingen må de fordelene/ulempene til de elevene som opplever et utrygt klassemiljø veies opp mot fordelene/ulempene til elevene som tas ut av klassen. Forholdsmessighetsvurderingen må ta utgangspunkt i at forslaget er av en svært inngripende karakter. Forslaget åpner for unntak fra nærskolesprinsippet og regelen om gruppetilhørighet, som betyr at en elev kan risikere aleneundervisning i opptil åtte uker. Det i motsetning til ved pålagt skolebytte hvor retten til gruppetilhørighet ivaretas. I punkt 3.2 i høringsnotatet viser Departementet til de negative konsekvensene med bortvisning. Vi bemerker at flere av de samme ulempene vil gjøre seg gjeldene også for det foreslåtte tiltaket, blant annet risikoen for økt utenforskap, stigmatisering og svekket tilgang til et inkluderende opplæringstilbud. Departementet må ta stilling til om forslaget kan forsvares i lys av de mulige negative konsekvensene for elevene som tas ut.</w:t>
      </w:r>
    </w:p>
    <w:p w14:paraId="54018A75" w14:textId="77777777" w:rsidR="008A58F4" w:rsidRDefault="008A58F4" w:rsidP="008A58F4">
      <w:pPr>
        <w:pStyle w:val="Brdtekst"/>
      </w:pPr>
      <w:r>
        <w:t>Hvis dere har spørsmål til høringssvaret, så ta gjerne kontakt.</w:t>
      </w:r>
    </w:p>
    <w:p w14:paraId="5A297C79" w14:textId="77777777" w:rsidR="008A58F4" w:rsidRDefault="008A58F4" w:rsidP="008A58F4">
      <w:pPr>
        <w:pStyle w:val="Brdtekst"/>
      </w:pPr>
    </w:p>
    <w:p w14:paraId="01E8FF74" w14:textId="0B12D77B" w:rsidR="008A58F4" w:rsidRDefault="008A58F4" w:rsidP="008A58F4">
      <w:pPr>
        <w:pStyle w:val="Brdtekst"/>
      </w:pPr>
      <w:r>
        <w:t>Vennlig hilsen</w:t>
      </w:r>
    </w:p>
    <w:p w14:paraId="2F806CCD" w14:textId="73BF5A9F" w:rsidR="008A58F4" w:rsidRDefault="008A58F4" w:rsidP="008A58F4">
      <w:pPr>
        <w:pStyle w:val="Brdtekst"/>
      </w:pPr>
      <w:r>
        <w:t>Rønnaug M. Retterås, avdelingsdirektør</w:t>
      </w:r>
    </w:p>
    <w:p w14:paraId="120212C8" w14:textId="4598AB80" w:rsidR="00235BB4" w:rsidRPr="00370C68" w:rsidRDefault="008A58F4" w:rsidP="0000266B">
      <w:pPr>
        <w:pStyle w:val="Brdtekst"/>
      </w:pPr>
      <w:r>
        <w:t>Tiril Andresen, rådgiver</w:t>
      </w:r>
    </w:p>
    <w:sectPr w:rsidR="00235BB4" w:rsidRPr="00370C68" w:rsidSect="005553E2">
      <w:footerReference w:type="default" r:id="rId10"/>
      <w:headerReference w:type="first" r:id="rId11"/>
      <w:footerReference w:type="first" r:id="rId12"/>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1E05" w14:textId="77777777" w:rsidR="0059065E" w:rsidRDefault="0059065E" w:rsidP="00694192">
      <w:pPr>
        <w:spacing w:line="240" w:lineRule="auto"/>
      </w:pPr>
      <w:r>
        <w:separator/>
      </w:r>
    </w:p>
  </w:endnote>
  <w:endnote w:type="continuationSeparator" w:id="0">
    <w:p w14:paraId="7F2AAD7D" w14:textId="77777777" w:rsidR="0059065E" w:rsidRDefault="0059065E" w:rsidP="00694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8642" w14:textId="781195B8" w:rsidR="00694192" w:rsidRPr="00694192" w:rsidRDefault="00694192" w:rsidP="00694192">
    <w:pPr>
      <w:pStyle w:val="Bunntekst"/>
      <w:jc w:val="right"/>
      <w:rPr>
        <w:sz w:val="20"/>
        <w:szCs w:val="20"/>
      </w:rPr>
    </w:pPr>
    <w:r w:rsidRPr="00694192">
      <w:rPr>
        <w:sz w:val="20"/>
        <w:szCs w:val="20"/>
      </w:rPr>
      <w:t xml:space="preserve">Side </w:t>
    </w:r>
    <w:r w:rsidRPr="00694192">
      <w:rPr>
        <w:b/>
        <w:bCs/>
        <w:sz w:val="20"/>
        <w:szCs w:val="20"/>
      </w:rPr>
      <w:fldChar w:fldCharType="begin"/>
    </w:r>
    <w:r w:rsidRPr="00694192">
      <w:rPr>
        <w:b/>
        <w:bCs/>
        <w:sz w:val="20"/>
        <w:szCs w:val="20"/>
      </w:rPr>
      <w:instrText>PAGE  \* Arabic  \* MERGEFORMAT</w:instrText>
    </w:r>
    <w:r w:rsidRPr="00694192">
      <w:rPr>
        <w:b/>
        <w:bCs/>
        <w:sz w:val="20"/>
        <w:szCs w:val="20"/>
      </w:rPr>
      <w:fldChar w:fldCharType="separate"/>
    </w:r>
    <w:r w:rsidRPr="00694192">
      <w:rPr>
        <w:b/>
        <w:bCs/>
        <w:sz w:val="20"/>
        <w:szCs w:val="20"/>
      </w:rPr>
      <w:t>1</w:t>
    </w:r>
    <w:r w:rsidRPr="00694192">
      <w:rPr>
        <w:b/>
        <w:bCs/>
        <w:sz w:val="20"/>
        <w:szCs w:val="20"/>
      </w:rPr>
      <w:fldChar w:fldCharType="end"/>
    </w:r>
    <w:r w:rsidRPr="00694192">
      <w:rPr>
        <w:sz w:val="20"/>
        <w:szCs w:val="20"/>
      </w:rPr>
      <w:t xml:space="preserve"> av </w:t>
    </w:r>
    <w:r w:rsidRPr="00694192">
      <w:rPr>
        <w:b/>
        <w:bCs/>
        <w:sz w:val="20"/>
        <w:szCs w:val="20"/>
      </w:rPr>
      <w:fldChar w:fldCharType="begin"/>
    </w:r>
    <w:r w:rsidRPr="00694192">
      <w:rPr>
        <w:b/>
        <w:bCs/>
        <w:sz w:val="20"/>
        <w:szCs w:val="20"/>
      </w:rPr>
      <w:instrText>NUMPAGES  \* Arabic  \* MERGEFORMAT</w:instrText>
    </w:r>
    <w:r w:rsidRPr="00694192">
      <w:rPr>
        <w:b/>
        <w:bCs/>
        <w:sz w:val="20"/>
        <w:szCs w:val="20"/>
      </w:rPr>
      <w:fldChar w:fldCharType="separate"/>
    </w:r>
    <w:r w:rsidRPr="00694192">
      <w:rPr>
        <w:b/>
        <w:bCs/>
        <w:sz w:val="20"/>
        <w:szCs w:val="20"/>
      </w:rPr>
      <w:t>2</w:t>
    </w:r>
    <w:r w:rsidRPr="00694192">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4E22" w14:textId="77777777" w:rsidR="00694192" w:rsidRPr="006363A8" w:rsidRDefault="00694192" w:rsidP="006363A8">
    <w:pPr>
      <w:pStyle w:val="Bunn"/>
    </w:pPr>
    <w:r w:rsidRPr="006363A8">
      <w:t xml:space="preserve">Likestillings- og </w:t>
    </w:r>
    <w:proofErr w:type="gramStart"/>
    <w:r w:rsidRPr="006363A8">
      <w:t>diskrimineringsombudet  |</w:t>
    </w:r>
    <w:proofErr w:type="gramEnd"/>
    <w:r w:rsidRPr="006363A8">
      <w:t xml:space="preserve">  Mariboes gate </w:t>
    </w:r>
    <w:proofErr w:type="gramStart"/>
    <w:r w:rsidRPr="006363A8">
      <w:t>13  |</w:t>
    </w:r>
    <w:proofErr w:type="gramEnd"/>
    <w:r w:rsidRPr="006363A8">
      <w:t xml:space="preserve">  Pb 9297 Grønland, 0134 Oslo</w:t>
    </w:r>
  </w:p>
  <w:p w14:paraId="1111E89B" w14:textId="6DFE6271" w:rsidR="00694192" w:rsidRPr="006363A8" w:rsidRDefault="00694192" w:rsidP="006363A8">
    <w:pPr>
      <w:pStyle w:val="Bunn"/>
    </w:pPr>
    <w:r w:rsidRPr="006363A8">
      <w:t xml:space="preserve">Tlf. (+47) 23 15 73 </w:t>
    </w:r>
    <w:proofErr w:type="gramStart"/>
    <w:r w:rsidRPr="006363A8">
      <w:t>00  |</w:t>
    </w:r>
    <w:proofErr w:type="gramEnd"/>
    <w:r w:rsidRPr="006363A8">
      <w:t xml:space="preserve">  E-post: </w:t>
    </w:r>
    <w:proofErr w:type="gramStart"/>
    <w:r w:rsidRPr="006363A8">
      <w:t>post@ldo.no  |</w:t>
    </w:r>
    <w:proofErr w:type="gramEnd"/>
    <w:r w:rsidRPr="006363A8">
      <w:t xml:space="preserve">  </w:t>
    </w:r>
    <w:proofErr w:type="gramStart"/>
    <w:r w:rsidRPr="006363A8">
      <w:t>www.ldo.no  |</w:t>
    </w:r>
    <w:proofErr w:type="gramEnd"/>
    <w:r w:rsidRPr="006363A8">
      <w:t xml:space="preserve">  org. nr. 988 681 873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FA24" w14:textId="77777777" w:rsidR="0059065E" w:rsidRDefault="0059065E" w:rsidP="00694192">
      <w:pPr>
        <w:spacing w:line="240" w:lineRule="auto"/>
      </w:pPr>
      <w:r>
        <w:separator/>
      </w:r>
    </w:p>
  </w:footnote>
  <w:footnote w:type="continuationSeparator" w:id="0">
    <w:p w14:paraId="3A318C6D" w14:textId="77777777" w:rsidR="0059065E" w:rsidRDefault="0059065E" w:rsidP="006941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5245" w14:textId="67F4E5B0" w:rsidR="00694192" w:rsidRDefault="00694192" w:rsidP="002810BE">
    <w:pPr>
      <w:pStyle w:val="Topptekst"/>
      <w:jc w:val="right"/>
    </w:pPr>
    <w:r>
      <w:rPr>
        <w:noProof/>
      </w:rPr>
      <w:drawing>
        <wp:inline distT="0" distB="0" distL="0" distR="0" wp14:anchorId="391C78F0" wp14:editId="7FD4E07E">
          <wp:extent cx="2254001" cy="406909"/>
          <wp:effectExtent l="0" t="0" r="0" b="0"/>
          <wp:docPr id="1" name="Picture 1" descr="Likestillings- og diskrimineringsombu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kestillings- og diskrimineringsombude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001" cy="406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08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4402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460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A25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3A91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B4D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4E0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E45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400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827C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BF6302"/>
    <w:multiLevelType w:val="hybridMultilevel"/>
    <w:tmpl w:val="17D258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216755A"/>
    <w:multiLevelType w:val="hybridMultilevel"/>
    <w:tmpl w:val="7B167A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7355039">
    <w:abstractNumId w:val="9"/>
  </w:num>
  <w:num w:numId="2" w16cid:durableId="1421490008">
    <w:abstractNumId w:val="8"/>
  </w:num>
  <w:num w:numId="3" w16cid:durableId="1517452857">
    <w:abstractNumId w:val="7"/>
  </w:num>
  <w:num w:numId="4" w16cid:durableId="1212304921">
    <w:abstractNumId w:val="6"/>
  </w:num>
  <w:num w:numId="5" w16cid:durableId="1742211818">
    <w:abstractNumId w:val="5"/>
  </w:num>
  <w:num w:numId="6" w16cid:durableId="1412695993">
    <w:abstractNumId w:val="4"/>
  </w:num>
  <w:num w:numId="7" w16cid:durableId="1217859144">
    <w:abstractNumId w:val="3"/>
  </w:num>
  <w:num w:numId="8" w16cid:durableId="1120539340">
    <w:abstractNumId w:val="2"/>
  </w:num>
  <w:num w:numId="9" w16cid:durableId="645552675">
    <w:abstractNumId w:val="1"/>
  </w:num>
  <w:num w:numId="10" w16cid:durableId="355695016">
    <w:abstractNumId w:val="0"/>
  </w:num>
  <w:num w:numId="11" w16cid:durableId="1536118099">
    <w:abstractNumId w:val="9"/>
  </w:num>
  <w:num w:numId="12" w16cid:durableId="438917037">
    <w:abstractNumId w:val="8"/>
  </w:num>
  <w:num w:numId="13" w16cid:durableId="1643657050">
    <w:abstractNumId w:val="7"/>
  </w:num>
  <w:num w:numId="14" w16cid:durableId="618612637">
    <w:abstractNumId w:val="6"/>
  </w:num>
  <w:num w:numId="15" w16cid:durableId="1164011319">
    <w:abstractNumId w:val="5"/>
  </w:num>
  <w:num w:numId="16" w16cid:durableId="1119952607">
    <w:abstractNumId w:val="4"/>
  </w:num>
  <w:num w:numId="17" w16cid:durableId="2144349811">
    <w:abstractNumId w:val="3"/>
  </w:num>
  <w:num w:numId="18" w16cid:durableId="1625694756">
    <w:abstractNumId w:val="2"/>
  </w:num>
  <w:num w:numId="19" w16cid:durableId="1080836387">
    <w:abstractNumId w:val="1"/>
  </w:num>
  <w:num w:numId="20" w16cid:durableId="391386110">
    <w:abstractNumId w:val="0"/>
  </w:num>
  <w:num w:numId="21" w16cid:durableId="599071980">
    <w:abstractNumId w:val="10"/>
  </w:num>
  <w:num w:numId="22" w16cid:durableId="736905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92"/>
    <w:rsid w:val="00001A3A"/>
    <w:rsid w:val="0000266B"/>
    <w:rsid w:val="00063D30"/>
    <w:rsid w:val="00064041"/>
    <w:rsid w:val="00097019"/>
    <w:rsid w:val="00120406"/>
    <w:rsid w:val="00120E94"/>
    <w:rsid w:val="001278E1"/>
    <w:rsid w:val="001568A6"/>
    <w:rsid w:val="001A49EF"/>
    <w:rsid w:val="001B41AF"/>
    <w:rsid w:val="001B631F"/>
    <w:rsid w:val="001C2013"/>
    <w:rsid w:val="001E4DB0"/>
    <w:rsid w:val="001F6E1E"/>
    <w:rsid w:val="001F7A16"/>
    <w:rsid w:val="00235BB4"/>
    <w:rsid w:val="002810BE"/>
    <w:rsid w:val="00287FCE"/>
    <w:rsid w:val="002B1869"/>
    <w:rsid w:val="002B7865"/>
    <w:rsid w:val="002D6450"/>
    <w:rsid w:val="00370C68"/>
    <w:rsid w:val="003B6C7D"/>
    <w:rsid w:val="003D2780"/>
    <w:rsid w:val="003D3C0A"/>
    <w:rsid w:val="004062A6"/>
    <w:rsid w:val="00444853"/>
    <w:rsid w:val="004529A3"/>
    <w:rsid w:val="004B4D56"/>
    <w:rsid w:val="004C1337"/>
    <w:rsid w:val="004E184F"/>
    <w:rsid w:val="004E367D"/>
    <w:rsid w:val="005032AB"/>
    <w:rsid w:val="005262E7"/>
    <w:rsid w:val="00526FA9"/>
    <w:rsid w:val="005308C9"/>
    <w:rsid w:val="005316F9"/>
    <w:rsid w:val="005551D2"/>
    <w:rsid w:val="005553E2"/>
    <w:rsid w:val="00585E36"/>
    <w:rsid w:val="0059065E"/>
    <w:rsid w:val="006363A8"/>
    <w:rsid w:val="00643D70"/>
    <w:rsid w:val="00686FCA"/>
    <w:rsid w:val="00694192"/>
    <w:rsid w:val="006D2E09"/>
    <w:rsid w:val="0071216A"/>
    <w:rsid w:val="007237EE"/>
    <w:rsid w:val="00757277"/>
    <w:rsid w:val="00783418"/>
    <w:rsid w:val="007B407B"/>
    <w:rsid w:val="008100BB"/>
    <w:rsid w:val="008A58F4"/>
    <w:rsid w:val="008D1BAE"/>
    <w:rsid w:val="008E0B99"/>
    <w:rsid w:val="008F01B2"/>
    <w:rsid w:val="00901533"/>
    <w:rsid w:val="00914C6C"/>
    <w:rsid w:val="00950B9E"/>
    <w:rsid w:val="00952744"/>
    <w:rsid w:val="009B0D3D"/>
    <w:rsid w:val="00A12A5F"/>
    <w:rsid w:val="00A35FC2"/>
    <w:rsid w:val="00A428A3"/>
    <w:rsid w:val="00A44AC6"/>
    <w:rsid w:val="00AD3AAC"/>
    <w:rsid w:val="00AD7211"/>
    <w:rsid w:val="00AE6011"/>
    <w:rsid w:val="00B17C4C"/>
    <w:rsid w:val="00B23AE3"/>
    <w:rsid w:val="00B56A36"/>
    <w:rsid w:val="00B60930"/>
    <w:rsid w:val="00B920EC"/>
    <w:rsid w:val="00BC2923"/>
    <w:rsid w:val="00C10B95"/>
    <w:rsid w:val="00C64AE5"/>
    <w:rsid w:val="00D24D62"/>
    <w:rsid w:val="00D842FC"/>
    <w:rsid w:val="00D95B7B"/>
    <w:rsid w:val="00DA569E"/>
    <w:rsid w:val="00DA73AE"/>
    <w:rsid w:val="00DE7CF5"/>
    <w:rsid w:val="00DF6E5E"/>
    <w:rsid w:val="00E55271"/>
    <w:rsid w:val="00E61BB6"/>
    <w:rsid w:val="00F77950"/>
    <w:rsid w:val="00FC6AE6"/>
    <w:rsid w:val="00FE55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BA9A1"/>
  <w15:chartTrackingRefBased/>
  <w15:docId w15:val="{A07555E3-BB90-4343-A93F-BE3F60DC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BB"/>
    <w:pPr>
      <w:spacing w:after="0" w:line="312" w:lineRule="auto"/>
    </w:pPr>
    <w:rPr>
      <w:rFonts w:ascii="Roboto" w:hAnsi="Roboto"/>
      <w:sz w:val="24"/>
    </w:rPr>
  </w:style>
  <w:style w:type="paragraph" w:styleId="Overskrift1">
    <w:name w:val="heading 1"/>
    <w:basedOn w:val="Normal"/>
    <w:next w:val="Normal"/>
    <w:link w:val="Overskrift1Tegn"/>
    <w:uiPriority w:val="9"/>
    <w:qFormat/>
    <w:rsid w:val="00D842FC"/>
    <w:pPr>
      <w:spacing w:before="480" w:after="80" w:line="288" w:lineRule="auto"/>
      <w:outlineLvl w:val="0"/>
    </w:pPr>
    <w:rPr>
      <w:b/>
      <w:bCs/>
      <w:color w:val="000000" w:themeColor="text1"/>
      <w:sz w:val="32"/>
      <w:szCs w:val="32"/>
    </w:rPr>
  </w:style>
  <w:style w:type="paragraph" w:styleId="Overskrift2">
    <w:name w:val="heading 2"/>
    <w:basedOn w:val="Normal"/>
    <w:next w:val="Normal"/>
    <w:link w:val="Overskrift2Tegn"/>
    <w:uiPriority w:val="9"/>
    <w:unhideWhenUsed/>
    <w:qFormat/>
    <w:rsid w:val="00D842FC"/>
    <w:pPr>
      <w:keepNext/>
      <w:keepLines/>
      <w:spacing w:before="360" w:after="80" w:line="288" w:lineRule="auto"/>
      <w:outlineLvl w:val="1"/>
    </w:pPr>
    <w:rPr>
      <w:rFonts w:eastAsiaTheme="majorEastAsia" w:cstheme="majorBidi"/>
      <w:b/>
      <w:color w:val="000000" w:themeColor="text1"/>
      <w:sz w:val="26"/>
      <w:szCs w:val="26"/>
      <w:lang w:eastAsia="nb-NO"/>
    </w:rPr>
  </w:style>
  <w:style w:type="paragraph" w:styleId="Overskrift3">
    <w:name w:val="heading 3"/>
    <w:basedOn w:val="Normal"/>
    <w:next w:val="Normal"/>
    <w:link w:val="Overskrift3Tegn"/>
    <w:uiPriority w:val="9"/>
    <w:semiHidden/>
    <w:unhideWhenUsed/>
    <w:qFormat/>
    <w:rsid w:val="00B60930"/>
    <w:pPr>
      <w:spacing w:before="360" w:after="80" w:line="288" w:lineRule="auto"/>
      <w:outlineLvl w:val="2"/>
    </w:pPr>
    <w:rPr>
      <w:rFonts w:eastAsiaTheme="majorEastAsia" w:cstheme="majorBidi"/>
      <w:b/>
      <w:color w:val="000000" w:themeColor="text1"/>
      <w:sz w:val="22"/>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4192"/>
    <w:pPr>
      <w:tabs>
        <w:tab w:val="center" w:pos="4513"/>
        <w:tab w:val="right" w:pos="9026"/>
      </w:tabs>
      <w:spacing w:line="240" w:lineRule="auto"/>
    </w:pPr>
  </w:style>
  <w:style w:type="character" w:customStyle="1" w:styleId="TopptekstTegn">
    <w:name w:val="Topptekst Tegn"/>
    <w:basedOn w:val="Standardskriftforavsnitt"/>
    <w:link w:val="Topptekst"/>
    <w:uiPriority w:val="99"/>
    <w:rsid w:val="00694192"/>
    <w:rPr>
      <w:rFonts w:ascii="Arial" w:hAnsi="Arial"/>
      <w:lang w:val="nn-NO"/>
    </w:rPr>
  </w:style>
  <w:style w:type="paragraph" w:styleId="Bunntekst">
    <w:name w:val="footer"/>
    <w:basedOn w:val="Normal"/>
    <w:link w:val="BunntekstTegn"/>
    <w:uiPriority w:val="99"/>
    <w:unhideWhenUsed/>
    <w:rsid w:val="00694192"/>
    <w:pPr>
      <w:tabs>
        <w:tab w:val="center" w:pos="4513"/>
        <w:tab w:val="right" w:pos="9026"/>
      </w:tabs>
      <w:spacing w:line="240" w:lineRule="auto"/>
    </w:pPr>
  </w:style>
  <w:style w:type="character" w:customStyle="1" w:styleId="BunntekstTegn">
    <w:name w:val="Bunntekst Tegn"/>
    <w:basedOn w:val="Standardskriftforavsnitt"/>
    <w:link w:val="Bunntekst"/>
    <w:uiPriority w:val="99"/>
    <w:rsid w:val="00694192"/>
    <w:rPr>
      <w:rFonts w:ascii="Arial" w:hAnsi="Arial"/>
      <w:lang w:val="nn-NO"/>
    </w:rPr>
  </w:style>
  <w:style w:type="table" w:styleId="Tabellrutenett">
    <w:name w:val="Table Grid"/>
    <w:basedOn w:val="Vanligtabell"/>
    <w:uiPriority w:val="39"/>
    <w:rsid w:val="00694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842FC"/>
    <w:rPr>
      <w:rFonts w:ascii="Roboto" w:eastAsiaTheme="majorEastAsia" w:hAnsi="Roboto" w:cstheme="majorBidi"/>
      <w:b/>
      <w:color w:val="000000" w:themeColor="text1"/>
      <w:sz w:val="26"/>
      <w:szCs w:val="26"/>
      <w:lang w:eastAsia="nb-NO"/>
    </w:rPr>
  </w:style>
  <w:style w:type="paragraph" w:customStyle="1" w:styleId="Infotekst">
    <w:name w:val="Infotekst"/>
    <w:basedOn w:val="Ingenmellomrom"/>
    <w:uiPriority w:val="99"/>
    <w:rsid w:val="00694192"/>
    <w:rPr>
      <w:rFonts w:ascii="Roboto" w:hAnsi="Roboto"/>
      <w:sz w:val="20"/>
      <w:lang w:val="nb-NO"/>
    </w:rPr>
  </w:style>
  <w:style w:type="paragraph" w:styleId="Ingenmellomrom">
    <w:name w:val="No Spacing"/>
    <w:uiPriority w:val="99"/>
    <w:rsid w:val="00694192"/>
    <w:pPr>
      <w:spacing w:after="0" w:line="240" w:lineRule="auto"/>
    </w:pPr>
    <w:rPr>
      <w:rFonts w:ascii="Arial" w:hAnsi="Arial"/>
      <w:lang w:val="nn-NO"/>
    </w:rPr>
  </w:style>
  <w:style w:type="character" w:customStyle="1" w:styleId="Overskrift1Tegn">
    <w:name w:val="Overskrift 1 Tegn"/>
    <w:basedOn w:val="Standardskriftforavsnitt"/>
    <w:link w:val="Overskrift1"/>
    <w:uiPriority w:val="9"/>
    <w:rsid w:val="00D842FC"/>
    <w:rPr>
      <w:rFonts w:ascii="Roboto" w:hAnsi="Roboto"/>
      <w:b/>
      <w:bCs/>
      <w:color w:val="000000" w:themeColor="text1"/>
      <w:sz w:val="32"/>
      <w:szCs w:val="32"/>
    </w:rPr>
  </w:style>
  <w:style w:type="paragraph" w:styleId="Fotnotetekst">
    <w:name w:val="footnote text"/>
    <w:basedOn w:val="Normal"/>
    <w:link w:val="FotnotetekstTegn"/>
    <w:uiPriority w:val="99"/>
    <w:semiHidden/>
    <w:unhideWhenUsed/>
    <w:rsid w:val="005553E2"/>
    <w:pPr>
      <w:spacing w:line="240" w:lineRule="auto"/>
    </w:pPr>
    <w:rPr>
      <w:sz w:val="20"/>
      <w:szCs w:val="20"/>
    </w:rPr>
  </w:style>
  <w:style w:type="character" w:customStyle="1" w:styleId="FotnotetekstTegn">
    <w:name w:val="Fotnotetekst Tegn"/>
    <w:basedOn w:val="Standardskriftforavsnitt"/>
    <w:link w:val="Fotnotetekst"/>
    <w:uiPriority w:val="99"/>
    <w:semiHidden/>
    <w:rsid w:val="005553E2"/>
    <w:rPr>
      <w:rFonts w:ascii="Roboto" w:hAnsi="Roboto"/>
      <w:sz w:val="20"/>
      <w:szCs w:val="20"/>
      <w:lang w:val="nn-NO"/>
    </w:rPr>
  </w:style>
  <w:style w:type="character" w:styleId="Fotnotereferanse">
    <w:name w:val="footnote reference"/>
    <w:basedOn w:val="Standardskriftforavsnitt"/>
    <w:uiPriority w:val="99"/>
    <w:semiHidden/>
    <w:unhideWhenUsed/>
    <w:rsid w:val="005553E2"/>
    <w:rPr>
      <w:vertAlign w:val="superscript"/>
    </w:rPr>
  </w:style>
  <w:style w:type="paragraph" w:styleId="Sitat">
    <w:name w:val="Quote"/>
    <w:basedOn w:val="Normal"/>
    <w:next w:val="Normal"/>
    <w:link w:val="SitatTegn"/>
    <w:uiPriority w:val="29"/>
    <w:qFormat/>
    <w:rsid w:val="005308C9"/>
    <w:pPr>
      <w:spacing w:after="180"/>
      <w:ind w:left="567" w:right="1701"/>
    </w:pPr>
  </w:style>
  <w:style w:type="character" w:customStyle="1" w:styleId="SitatTegn">
    <w:name w:val="Sitat Tegn"/>
    <w:basedOn w:val="Standardskriftforavsnitt"/>
    <w:link w:val="Sitat"/>
    <w:uiPriority w:val="29"/>
    <w:rsid w:val="005308C9"/>
    <w:rPr>
      <w:rFonts w:ascii="Roboto" w:hAnsi="Roboto"/>
      <w:sz w:val="24"/>
    </w:rPr>
  </w:style>
  <w:style w:type="paragraph" w:styleId="Brdtekst">
    <w:name w:val="Body Text"/>
    <w:basedOn w:val="Normal"/>
    <w:link w:val="BrdtekstTegn"/>
    <w:uiPriority w:val="99"/>
    <w:qFormat/>
    <w:rsid w:val="001B41AF"/>
    <w:pPr>
      <w:spacing w:after="180"/>
    </w:pPr>
  </w:style>
  <w:style w:type="character" w:customStyle="1" w:styleId="BrdtekstTegn">
    <w:name w:val="Brødtekst Tegn"/>
    <w:basedOn w:val="Standardskriftforavsnitt"/>
    <w:link w:val="Brdtekst"/>
    <w:uiPriority w:val="99"/>
    <w:rsid w:val="001B41AF"/>
    <w:rPr>
      <w:rFonts w:ascii="Roboto" w:hAnsi="Roboto"/>
      <w:sz w:val="24"/>
      <w:lang w:val="nn-NO"/>
    </w:rPr>
  </w:style>
  <w:style w:type="paragraph" w:customStyle="1" w:styleId="Bunn">
    <w:name w:val="Bunn"/>
    <w:basedOn w:val="Normal"/>
    <w:rsid w:val="006363A8"/>
    <w:pPr>
      <w:jc w:val="center"/>
    </w:pPr>
    <w:rPr>
      <w:sz w:val="20"/>
      <w:szCs w:val="18"/>
    </w:rPr>
  </w:style>
  <w:style w:type="character" w:customStyle="1" w:styleId="Overskrift3Tegn">
    <w:name w:val="Overskrift 3 Tegn"/>
    <w:basedOn w:val="Standardskriftforavsnitt"/>
    <w:link w:val="Overskrift3"/>
    <w:uiPriority w:val="9"/>
    <w:semiHidden/>
    <w:rsid w:val="00B60930"/>
    <w:rPr>
      <w:rFonts w:ascii="Roboto" w:eastAsiaTheme="majorEastAsia" w:hAnsi="Roboto" w:cstheme="majorBidi"/>
      <w:b/>
      <w:color w:val="000000" w:themeColor="text1"/>
      <w:szCs w:val="24"/>
    </w:rPr>
  </w:style>
  <w:style w:type="character" w:styleId="Plassholdertekst">
    <w:name w:val="Placeholder Text"/>
    <w:basedOn w:val="Standardskriftforavsnitt"/>
    <w:uiPriority w:val="99"/>
    <w:semiHidden/>
    <w:rsid w:val="00B23AE3"/>
    <w:rPr>
      <w:color w:val="808080"/>
    </w:rPr>
  </w:style>
  <w:style w:type="paragraph" w:styleId="Tittel">
    <w:name w:val="Title"/>
    <w:basedOn w:val="Normal"/>
    <w:next w:val="Normal"/>
    <w:link w:val="TittelTegn"/>
    <w:uiPriority w:val="10"/>
    <w:rsid w:val="00B56A36"/>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56A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2026%20-%20X-notat%20bokm&#229;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
  <properties>
    <templateURI>docx</templateURI>
    <language/>
    <websakInfo>
      <fletteDato>16.06.2026</fletteDato>
      <sakid>2022012987</sakid>
      <jpid>2022038208</jpid>
      <filUnique/>
      <filChecksumFørFlett/>
      <erHoveddokument>False</erHoveddokument>
      <dcTitle>Høring til publisering på ldo.no</dcTitle>
      <sdfid>0</sdfid>
    </websakInfo>
    <docs>
      <doc>
        <sdm_watermark/>
        <sdm_sdfid/>
      </doc>
    </docs>
    <mutualMergeSupport>False</mutualMergeSupport>
    <sdm_dummy/>
    <mergeMode>MergeOne</mergeMode>
    <showHiddenMark>False</showHiddenMark>
  </properties>
  <header/>
  <footer/>
  <body>
    <Sbr_Navn>Tiril Andresen</Sbr_Navn>
    <Spg_Beskrivelse/>
    <Sgr_Beskrivelse/>
    <Sas_ArkivSakID>26/719</Sas_ArkivSakID>
    <Sdo_DokDato>16.06.2026</Sdo_DokDato>
    <Sdo_DokNr>7</Sdo_DokNr>
    <Sdo_Tittel>Høring til publisering på ldo.no</Sdo_Tittel>
  </body>
</document>
</file>

<file path=customXml/item2.xml><?xml version="1.0" encoding="utf-8"?>
<ct:contentTypeSchema xmlns:ct="http://schemas.microsoft.com/office/2006/metadata/contentType" xmlns:ma="http://schemas.microsoft.com/office/2006/metadata/properties/metaAttributes" ct:_="" ma:_="" ma:contentTypeName="Dokument" ma:contentTypeID="0x0101004A007C71592000469F214495E7B64621" ma:contentTypeVersion="18" ma:contentTypeDescription="Opprett et nytt dokument." ma:contentTypeScope="" ma:versionID="ff8cc0a9045c72658cfa12a765b980da">
  <xsd:schema xmlns:xsd="http://www.w3.org/2001/XMLSchema" xmlns:xs="http://www.w3.org/2001/XMLSchema" xmlns:p="http://schemas.microsoft.com/office/2006/metadata/properties" xmlns:ns2="d9f8c906-b825-45d2-bdfe-f89979dba43e" xmlns:ns3="544996ed-d138-4ee4-8b91-dc041fee9dba" targetNamespace="http://schemas.microsoft.com/office/2006/metadata/properties" ma:root="true" ma:fieldsID="00e678f159a257f94e8b59c661d319e9" ns2:_="" ns3:_="">
    <xsd:import namespace="d9f8c906-b825-45d2-bdfe-f89979dba43e"/>
    <xsd:import namespace="544996ed-d138-4ee4-8b91-dc041fee9d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c906-b825-45d2-bdfe-f89979db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035bead-37f7-4401-9af4-a09dc5f9c5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4996ed-d138-4ee4-8b91-dc041fee9db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1af03464-30f2-41c9-8e34-d31739fd7720}" ma:internalName="TaxCatchAll" ma:showField="CatchAllData" ma:web="544996ed-d138-4ee4-8b91-dc041fee9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2B6D9-66F5-4D65-BB29-4CC0A95DFFC6}">
  <ds:schemaRefs/>
</ds:datastoreItem>
</file>

<file path=customXml/itemProps2.xml><?xml version="1.0" encoding="utf-8"?>
<ds:datastoreItem xmlns:ds="http://schemas.openxmlformats.org/officeDocument/2006/customXml" ds:itemID="{77F5094B-F92B-485B-A4B4-03D8903B6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c906-b825-45d2-bdfe-f89979dba43e"/>
    <ds:schemaRef ds:uri="544996ed-d138-4ee4-8b91-dc041fee9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E2BE2-1EFA-45F4-8ACB-FD1860DD6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 X-notat bokmål</Template>
  <TotalTime>1</TotalTime>
  <Pages>4</Pages>
  <Words>1371</Words>
  <Characters>7267</Characters>
  <Application>Microsoft Office Word</Application>
  <DocSecurity>4</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til publisering på ldo.no</dc:title>
  <dc:subject/>
  <dc:creator>Carima Tirillsdottir Heinesen</dc:creator>
  <cp:keywords/>
  <dc:description/>
  <cp:lastModifiedBy>Carima Tirillsdottir Heinesen</cp:lastModifiedBy>
  <cp:revision>2</cp:revision>
  <dcterms:created xsi:type="dcterms:W3CDTF">2026-06-29T11:12:00Z</dcterms:created>
  <dcterms:modified xsi:type="dcterms:W3CDTF">2026-06-29T11:12:00Z</dcterms:modified>
</cp:coreProperties>
</file>