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38" w:rsidRPr="006202FB" w:rsidRDefault="00650938" w:rsidP="00650938">
      <w:pPr>
        <w:spacing w:before="0" w:after="0"/>
        <w:rPr>
          <w:b/>
          <w:sz w:val="36"/>
          <w:szCs w:val="36"/>
        </w:rPr>
      </w:pPr>
    </w:p>
    <w:p w:rsidR="00650938" w:rsidRPr="008064DB" w:rsidRDefault="00650938" w:rsidP="00650938">
      <w:pPr>
        <w:spacing w:before="0" w:after="0"/>
        <w:rPr>
          <w:b/>
          <w:sz w:val="36"/>
          <w:szCs w:val="36"/>
        </w:rPr>
      </w:pPr>
      <w:r w:rsidRPr="008064DB">
        <w:rPr>
          <w:b/>
          <w:sz w:val="36"/>
          <w:szCs w:val="36"/>
        </w:rPr>
        <w:t>Årsrapport 2019</w:t>
      </w:r>
    </w:p>
    <w:p w:rsidR="00650938" w:rsidRPr="008064DB" w:rsidRDefault="00650938" w:rsidP="00650938">
      <w:pPr>
        <w:spacing w:before="0" w:after="0"/>
        <w:rPr>
          <w:b/>
          <w:sz w:val="36"/>
          <w:szCs w:val="36"/>
        </w:rPr>
      </w:pPr>
    </w:p>
    <w:p w:rsidR="00650938" w:rsidRPr="008064DB" w:rsidRDefault="00650938" w:rsidP="00650938">
      <w:pPr>
        <w:spacing w:before="0" w:after="0"/>
        <w:rPr>
          <w:b/>
          <w:sz w:val="36"/>
          <w:szCs w:val="36"/>
        </w:rPr>
      </w:pPr>
      <w:r w:rsidRPr="008064DB">
        <w:rPr>
          <w:b/>
          <w:sz w:val="36"/>
          <w:szCs w:val="36"/>
        </w:rPr>
        <w:t>Likestillings- og diskrimineringsombodet</w:t>
      </w:r>
    </w:p>
    <w:p w:rsidR="00650938" w:rsidRPr="008064DB" w:rsidRDefault="00650938" w:rsidP="00650938">
      <w:pPr>
        <w:spacing w:before="0" w:after="0"/>
        <w:rPr>
          <w:b/>
          <w:sz w:val="36"/>
          <w:szCs w:val="36"/>
        </w:rPr>
      </w:pPr>
    </w:p>
    <w:p w:rsidR="00650938" w:rsidRPr="008064DB" w:rsidRDefault="00650938" w:rsidP="00650938">
      <w:pPr>
        <w:spacing w:before="0" w:after="0"/>
        <w:rPr>
          <w:b/>
          <w:sz w:val="36"/>
          <w:szCs w:val="36"/>
        </w:rPr>
      </w:pPr>
    </w:p>
    <w:p w:rsidR="00650938" w:rsidRPr="008064DB" w:rsidRDefault="00650938" w:rsidP="00650938">
      <w:pPr>
        <w:spacing w:before="0" w:after="0"/>
        <w:rPr>
          <w:b/>
          <w:sz w:val="36"/>
          <w:szCs w:val="36"/>
        </w:rPr>
      </w:pPr>
    </w:p>
    <w:p w:rsidR="00650938" w:rsidRPr="008064DB" w:rsidRDefault="00650938" w:rsidP="00650938">
      <w:pPr>
        <w:spacing w:before="0" w:after="0"/>
        <w:rPr>
          <w:b/>
          <w:sz w:val="36"/>
          <w:szCs w:val="36"/>
        </w:rPr>
      </w:pPr>
    </w:p>
    <w:p w:rsidR="00650938" w:rsidRPr="008064DB" w:rsidRDefault="00650938" w:rsidP="00650938">
      <w:pPr>
        <w:spacing w:before="0" w:after="0"/>
        <w:rPr>
          <w:b/>
          <w:sz w:val="36"/>
          <w:szCs w:val="36"/>
        </w:rPr>
      </w:pPr>
      <w:r w:rsidRPr="008064DB">
        <w:rPr>
          <w:b/>
          <w:sz w:val="36"/>
          <w:szCs w:val="36"/>
        </w:rPr>
        <w:br/>
      </w:r>
    </w:p>
    <w:p w:rsidR="00650938" w:rsidRPr="008064DB" w:rsidRDefault="00650938" w:rsidP="00650938">
      <w:pPr>
        <w:spacing w:before="0" w:after="0"/>
        <w:rPr>
          <w:b/>
          <w:sz w:val="36"/>
          <w:szCs w:val="36"/>
        </w:rPr>
      </w:pPr>
    </w:p>
    <w:p w:rsidR="00650938" w:rsidRPr="008064DB" w:rsidRDefault="00650938" w:rsidP="00650938">
      <w:pPr>
        <w:spacing w:before="0" w:after="0"/>
        <w:rPr>
          <w:b/>
          <w:sz w:val="36"/>
          <w:szCs w:val="36"/>
        </w:rPr>
      </w:pPr>
    </w:p>
    <w:p w:rsidR="00650938" w:rsidRPr="000D19BF" w:rsidRDefault="00650938" w:rsidP="00650938">
      <w:pPr>
        <w:spacing w:before="0" w:after="0"/>
        <w:rPr>
          <w:b/>
          <w:i/>
          <w:sz w:val="36"/>
          <w:szCs w:val="36"/>
          <w:lang w:val="nn-NO"/>
        </w:rPr>
      </w:pPr>
      <w:r w:rsidRPr="000D19BF">
        <w:rPr>
          <w:b/>
          <w:i/>
          <w:sz w:val="36"/>
          <w:szCs w:val="36"/>
          <w:lang w:val="nn-NO"/>
        </w:rPr>
        <w:br w:type="page"/>
      </w:r>
    </w:p>
    <w:sdt>
      <w:sdtPr>
        <w:id w:val="1510492583"/>
        <w:docPartObj>
          <w:docPartGallery w:val="Table of Contents"/>
          <w:docPartUnique/>
        </w:docPartObj>
      </w:sdtPr>
      <w:sdtEndPr>
        <w:rPr>
          <w:b/>
          <w:bCs/>
        </w:rPr>
      </w:sdtEndPr>
      <w:sdtContent>
        <w:p w:rsidR="005859D1" w:rsidRPr="006202FB" w:rsidRDefault="005859D1" w:rsidP="005859D1">
          <w:pPr>
            <w:spacing w:before="0" w:after="0"/>
            <w:rPr>
              <w:b/>
              <w:sz w:val="36"/>
              <w:szCs w:val="36"/>
              <w:lang w:val="nn-NO"/>
            </w:rPr>
          </w:pPr>
          <w:r w:rsidRPr="005859D1">
            <w:rPr>
              <w:b/>
              <w:sz w:val="36"/>
              <w:szCs w:val="36"/>
              <w:lang w:val="nn-NO"/>
            </w:rPr>
            <w:t>Innhaldsliste</w:t>
          </w:r>
          <w:r>
            <w:rPr>
              <w:b/>
              <w:sz w:val="36"/>
              <w:szCs w:val="36"/>
              <w:lang w:val="nn-NO"/>
            </w:rPr>
            <w:t xml:space="preserve"> </w:t>
          </w:r>
        </w:p>
        <w:p w:rsidR="005D085D" w:rsidRDefault="00D3127B">
          <w:pPr>
            <w:pStyle w:val="INNH1"/>
            <w:rPr>
              <w:rFonts w:asciiTheme="minorHAnsi" w:eastAsiaTheme="minorEastAsia" w:hAnsiTheme="minorHAnsi" w:cstheme="minorBidi"/>
              <w:b w:val="0"/>
              <w:sz w:val="22"/>
              <w:szCs w:val="22"/>
            </w:rPr>
          </w:pPr>
          <w:r>
            <w:rPr>
              <w:b w:val="0"/>
            </w:rPr>
            <w:fldChar w:fldCharType="begin"/>
          </w:r>
          <w:r>
            <w:rPr>
              <w:b w:val="0"/>
            </w:rPr>
            <w:instrText xml:space="preserve"> TOC \o "1-2" \h \z \u </w:instrText>
          </w:r>
          <w:r>
            <w:rPr>
              <w:b w:val="0"/>
            </w:rPr>
            <w:fldChar w:fldCharType="separate"/>
          </w:r>
          <w:hyperlink w:anchor="_Toc34915950" w:history="1">
            <w:r w:rsidR="005D085D" w:rsidRPr="007C10EA">
              <w:rPr>
                <w:rStyle w:val="Hyperkobling"/>
              </w:rPr>
              <w:t>Kapittel 1 Leiaren sine føreord</w:t>
            </w:r>
            <w:r w:rsidR="005D085D">
              <w:rPr>
                <w:webHidden/>
              </w:rPr>
              <w:tab/>
            </w:r>
            <w:r w:rsidR="005D085D">
              <w:rPr>
                <w:webHidden/>
              </w:rPr>
              <w:fldChar w:fldCharType="begin"/>
            </w:r>
            <w:r w:rsidR="005D085D">
              <w:rPr>
                <w:webHidden/>
              </w:rPr>
              <w:instrText xml:space="preserve"> PAGEREF _Toc34915950 \h </w:instrText>
            </w:r>
            <w:r w:rsidR="005D085D">
              <w:rPr>
                <w:webHidden/>
              </w:rPr>
            </w:r>
            <w:r w:rsidR="005D085D">
              <w:rPr>
                <w:webHidden/>
              </w:rPr>
              <w:fldChar w:fldCharType="separate"/>
            </w:r>
            <w:r w:rsidR="00C81C64">
              <w:rPr>
                <w:webHidden/>
              </w:rPr>
              <w:t>2</w:t>
            </w:r>
            <w:r w:rsidR="005D085D">
              <w:rPr>
                <w:webHidden/>
              </w:rPr>
              <w:fldChar w:fldCharType="end"/>
            </w:r>
          </w:hyperlink>
        </w:p>
        <w:p w:rsidR="005D085D" w:rsidRDefault="00BD4FBF">
          <w:pPr>
            <w:pStyle w:val="INNH1"/>
            <w:rPr>
              <w:rFonts w:asciiTheme="minorHAnsi" w:eastAsiaTheme="minorEastAsia" w:hAnsiTheme="minorHAnsi" w:cstheme="minorBidi"/>
              <w:b w:val="0"/>
              <w:sz w:val="22"/>
              <w:szCs w:val="22"/>
            </w:rPr>
          </w:pPr>
          <w:hyperlink w:anchor="_Toc34915951" w:history="1">
            <w:r w:rsidR="005D085D" w:rsidRPr="007C10EA">
              <w:rPr>
                <w:rStyle w:val="Hyperkobling"/>
              </w:rPr>
              <w:t>Kapittel 2 Introduksjon til verksemda og hovudtal</w:t>
            </w:r>
            <w:r w:rsidR="005D085D">
              <w:rPr>
                <w:webHidden/>
              </w:rPr>
              <w:tab/>
            </w:r>
            <w:r w:rsidR="005D085D">
              <w:rPr>
                <w:webHidden/>
              </w:rPr>
              <w:fldChar w:fldCharType="begin"/>
            </w:r>
            <w:r w:rsidR="005D085D">
              <w:rPr>
                <w:webHidden/>
              </w:rPr>
              <w:instrText xml:space="preserve"> PAGEREF _Toc34915951 \h </w:instrText>
            </w:r>
            <w:r w:rsidR="005D085D">
              <w:rPr>
                <w:webHidden/>
              </w:rPr>
            </w:r>
            <w:r w:rsidR="005D085D">
              <w:rPr>
                <w:webHidden/>
              </w:rPr>
              <w:fldChar w:fldCharType="separate"/>
            </w:r>
            <w:r w:rsidR="00C81C64">
              <w:rPr>
                <w:webHidden/>
              </w:rPr>
              <w:t>4</w:t>
            </w:r>
            <w:r w:rsidR="005D085D">
              <w:rPr>
                <w:webHidden/>
              </w:rPr>
              <w:fldChar w:fldCharType="end"/>
            </w:r>
          </w:hyperlink>
        </w:p>
        <w:p w:rsidR="005D085D" w:rsidRDefault="00BD4FBF">
          <w:pPr>
            <w:pStyle w:val="INNH1"/>
            <w:rPr>
              <w:rFonts w:asciiTheme="minorHAnsi" w:eastAsiaTheme="minorEastAsia" w:hAnsiTheme="minorHAnsi" w:cstheme="minorBidi"/>
              <w:b w:val="0"/>
              <w:sz w:val="22"/>
              <w:szCs w:val="22"/>
            </w:rPr>
          </w:pPr>
          <w:hyperlink w:anchor="_Toc34915952" w:history="1">
            <w:r w:rsidR="005D085D" w:rsidRPr="007C10EA">
              <w:rPr>
                <w:rStyle w:val="Hyperkobling"/>
              </w:rPr>
              <w:t>Kapittel 3 Aktivitetar og resultat i 2019</w:t>
            </w:r>
            <w:r w:rsidR="005D085D">
              <w:rPr>
                <w:webHidden/>
              </w:rPr>
              <w:tab/>
            </w:r>
            <w:r w:rsidR="005D085D">
              <w:rPr>
                <w:webHidden/>
              </w:rPr>
              <w:fldChar w:fldCharType="begin"/>
            </w:r>
            <w:r w:rsidR="005D085D">
              <w:rPr>
                <w:webHidden/>
              </w:rPr>
              <w:instrText xml:space="preserve"> PAGEREF _Toc34915952 \h </w:instrText>
            </w:r>
            <w:r w:rsidR="005D085D">
              <w:rPr>
                <w:webHidden/>
              </w:rPr>
            </w:r>
            <w:r w:rsidR="005D085D">
              <w:rPr>
                <w:webHidden/>
              </w:rPr>
              <w:fldChar w:fldCharType="separate"/>
            </w:r>
            <w:r w:rsidR="00C81C64">
              <w:rPr>
                <w:webHidden/>
              </w:rPr>
              <w:t>5</w:t>
            </w:r>
            <w:r w:rsidR="005D085D">
              <w:rPr>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3" w:history="1">
            <w:r w:rsidR="005D085D" w:rsidRPr="007C10EA">
              <w:rPr>
                <w:rStyle w:val="Hyperkobling"/>
                <w:noProof/>
              </w:rPr>
              <w:t>3.1 Relevant og god hjelp til mange</w:t>
            </w:r>
            <w:r w:rsidR="005D085D">
              <w:rPr>
                <w:noProof/>
                <w:webHidden/>
              </w:rPr>
              <w:tab/>
            </w:r>
            <w:r w:rsidR="005D085D">
              <w:rPr>
                <w:noProof/>
                <w:webHidden/>
              </w:rPr>
              <w:fldChar w:fldCharType="begin"/>
            </w:r>
            <w:r w:rsidR="005D085D">
              <w:rPr>
                <w:noProof/>
                <w:webHidden/>
              </w:rPr>
              <w:instrText xml:space="preserve"> PAGEREF _Toc34915953 \h </w:instrText>
            </w:r>
            <w:r w:rsidR="005D085D">
              <w:rPr>
                <w:noProof/>
                <w:webHidden/>
              </w:rPr>
            </w:r>
            <w:r w:rsidR="005D085D">
              <w:rPr>
                <w:noProof/>
                <w:webHidden/>
              </w:rPr>
              <w:fldChar w:fldCharType="separate"/>
            </w:r>
            <w:r w:rsidR="00C81C64">
              <w:rPr>
                <w:noProof/>
                <w:webHidden/>
              </w:rPr>
              <w:t>5</w:t>
            </w:r>
            <w:r w:rsidR="005D085D">
              <w:rPr>
                <w:noProof/>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4" w:history="1">
            <w:r w:rsidR="005D085D" w:rsidRPr="007C10EA">
              <w:rPr>
                <w:rStyle w:val="Hyperkobling"/>
                <w:noProof/>
              </w:rPr>
              <w:t>3.2 Førebyggjing</w:t>
            </w:r>
            <w:r w:rsidR="005D085D">
              <w:rPr>
                <w:noProof/>
                <w:webHidden/>
              </w:rPr>
              <w:tab/>
            </w:r>
            <w:r w:rsidR="005D085D">
              <w:rPr>
                <w:noProof/>
                <w:webHidden/>
              </w:rPr>
              <w:fldChar w:fldCharType="begin"/>
            </w:r>
            <w:r w:rsidR="005D085D">
              <w:rPr>
                <w:noProof/>
                <w:webHidden/>
              </w:rPr>
              <w:instrText xml:space="preserve"> PAGEREF _Toc34915954 \h </w:instrText>
            </w:r>
            <w:r w:rsidR="005D085D">
              <w:rPr>
                <w:noProof/>
                <w:webHidden/>
              </w:rPr>
            </w:r>
            <w:r w:rsidR="005D085D">
              <w:rPr>
                <w:noProof/>
                <w:webHidden/>
              </w:rPr>
              <w:fldChar w:fldCharType="separate"/>
            </w:r>
            <w:r w:rsidR="00C81C64">
              <w:rPr>
                <w:noProof/>
                <w:webHidden/>
              </w:rPr>
              <w:t>9</w:t>
            </w:r>
            <w:r w:rsidR="005D085D">
              <w:rPr>
                <w:noProof/>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5" w:history="1">
            <w:r w:rsidR="005D085D" w:rsidRPr="007C10EA">
              <w:rPr>
                <w:rStyle w:val="Hyperkobling"/>
                <w:noProof/>
              </w:rPr>
              <w:t>3.3 Arrangement og debattmøte</w:t>
            </w:r>
            <w:r w:rsidR="005D085D">
              <w:rPr>
                <w:noProof/>
                <w:webHidden/>
              </w:rPr>
              <w:tab/>
            </w:r>
            <w:r w:rsidR="005D085D">
              <w:rPr>
                <w:noProof/>
                <w:webHidden/>
              </w:rPr>
              <w:fldChar w:fldCharType="begin"/>
            </w:r>
            <w:r w:rsidR="005D085D">
              <w:rPr>
                <w:noProof/>
                <w:webHidden/>
              </w:rPr>
              <w:instrText xml:space="preserve"> PAGEREF _Toc34915955 \h </w:instrText>
            </w:r>
            <w:r w:rsidR="005D085D">
              <w:rPr>
                <w:noProof/>
                <w:webHidden/>
              </w:rPr>
            </w:r>
            <w:r w:rsidR="005D085D">
              <w:rPr>
                <w:noProof/>
                <w:webHidden/>
              </w:rPr>
              <w:fldChar w:fldCharType="separate"/>
            </w:r>
            <w:r w:rsidR="00C81C64">
              <w:rPr>
                <w:noProof/>
                <w:webHidden/>
              </w:rPr>
              <w:t>12</w:t>
            </w:r>
            <w:r w:rsidR="005D085D">
              <w:rPr>
                <w:noProof/>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6" w:history="1">
            <w:r w:rsidR="005D085D" w:rsidRPr="007C10EA">
              <w:rPr>
                <w:rStyle w:val="Hyperkobling"/>
                <w:noProof/>
              </w:rPr>
              <w:t>3.4 Endring gjennom samarbeid</w:t>
            </w:r>
            <w:r w:rsidR="005D085D">
              <w:rPr>
                <w:noProof/>
                <w:webHidden/>
              </w:rPr>
              <w:tab/>
            </w:r>
            <w:r w:rsidR="005D085D">
              <w:rPr>
                <w:noProof/>
                <w:webHidden/>
              </w:rPr>
              <w:fldChar w:fldCharType="begin"/>
            </w:r>
            <w:r w:rsidR="005D085D">
              <w:rPr>
                <w:noProof/>
                <w:webHidden/>
              </w:rPr>
              <w:instrText xml:space="preserve"> PAGEREF _Toc34915956 \h </w:instrText>
            </w:r>
            <w:r w:rsidR="005D085D">
              <w:rPr>
                <w:noProof/>
                <w:webHidden/>
              </w:rPr>
            </w:r>
            <w:r w:rsidR="005D085D">
              <w:rPr>
                <w:noProof/>
                <w:webHidden/>
              </w:rPr>
              <w:fldChar w:fldCharType="separate"/>
            </w:r>
            <w:r w:rsidR="00C81C64">
              <w:rPr>
                <w:noProof/>
                <w:webHidden/>
              </w:rPr>
              <w:t>14</w:t>
            </w:r>
            <w:r w:rsidR="005D085D">
              <w:rPr>
                <w:noProof/>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7" w:history="1">
            <w:r w:rsidR="005D085D" w:rsidRPr="007C10EA">
              <w:rPr>
                <w:rStyle w:val="Hyperkobling"/>
                <w:noProof/>
              </w:rPr>
              <w:t>3.5 Kampanjar</w:t>
            </w:r>
            <w:r w:rsidR="005D085D">
              <w:rPr>
                <w:noProof/>
                <w:webHidden/>
              </w:rPr>
              <w:tab/>
            </w:r>
            <w:r w:rsidR="005D085D">
              <w:rPr>
                <w:noProof/>
                <w:webHidden/>
              </w:rPr>
              <w:fldChar w:fldCharType="begin"/>
            </w:r>
            <w:r w:rsidR="005D085D">
              <w:rPr>
                <w:noProof/>
                <w:webHidden/>
              </w:rPr>
              <w:instrText xml:space="preserve"> PAGEREF _Toc34915957 \h </w:instrText>
            </w:r>
            <w:r w:rsidR="005D085D">
              <w:rPr>
                <w:noProof/>
                <w:webHidden/>
              </w:rPr>
            </w:r>
            <w:r w:rsidR="005D085D">
              <w:rPr>
                <w:noProof/>
                <w:webHidden/>
              </w:rPr>
              <w:fldChar w:fldCharType="separate"/>
            </w:r>
            <w:r w:rsidR="00C81C64">
              <w:rPr>
                <w:noProof/>
                <w:webHidden/>
              </w:rPr>
              <w:t>16</w:t>
            </w:r>
            <w:r w:rsidR="005D085D">
              <w:rPr>
                <w:noProof/>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8" w:history="1">
            <w:r w:rsidR="005D085D" w:rsidRPr="007C10EA">
              <w:rPr>
                <w:rStyle w:val="Hyperkobling"/>
                <w:noProof/>
              </w:rPr>
              <w:t>3.6 Tilsyn med FN-konvensjonar</w:t>
            </w:r>
            <w:r w:rsidR="005D085D">
              <w:rPr>
                <w:noProof/>
                <w:webHidden/>
              </w:rPr>
              <w:tab/>
            </w:r>
            <w:r w:rsidR="005D085D">
              <w:rPr>
                <w:noProof/>
                <w:webHidden/>
              </w:rPr>
              <w:fldChar w:fldCharType="begin"/>
            </w:r>
            <w:r w:rsidR="005D085D">
              <w:rPr>
                <w:noProof/>
                <w:webHidden/>
              </w:rPr>
              <w:instrText xml:space="preserve"> PAGEREF _Toc34915958 \h </w:instrText>
            </w:r>
            <w:r w:rsidR="005D085D">
              <w:rPr>
                <w:noProof/>
                <w:webHidden/>
              </w:rPr>
            </w:r>
            <w:r w:rsidR="005D085D">
              <w:rPr>
                <w:noProof/>
                <w:webHidden/>
              </w:rPr>
              <w:fldChar w:fldCharType="separate"/>
            </w:r>
            <w:r w:rsidR="00C81C64">
              <w:rPr>
                <w:noProof/>
                <w:webHidden/>
              </w:rPr>
              <w:t>17</w:t>
            </w:r>
            <w:r w:rsidR="005D085D">
              <w:rPr>
                <w:noProof/>
                <w:webHidden/>
              </w:rPr>
              <w:fldChar w:fldCharType="end"/>
            </w:r>
          </w:hyperlink>
        </w:p>
        <w:p w:rsidR="005D085D" w:rsidRDefault="00BD4FBF">
          <w:pPr>
            <w:pStyle w:val="INNH2"/>
            <w:tabs>
              <w:tab w:val="right" w:leader="dot" w:pos="9062"/>
            </w:tabs>
            <w:rPr>
              <w:rFonts w:asciiTheme="minorHAnsi" w:eastAsiaTheme="minorEastAsia" w:hAnsiTheme="minorHAnsi" w:cstheme="minorBidi"/>
              <w:noProof/>
              <w:sz w:val="22"/>
              <w:szCs w:val="22"/>
            </w:rPr>
          </w:pPr>
          <w:hyperlink w:anchor="_Toc34915959" w:history="1">
            <w:r w:rsidR="005D085D" w:rsidRPr="007C10EA">
              <w:rPr>
                <w:rStyle w:val="Hyperkobling"/>
                <w:noProof/>
              </w:rPr>
              <w:t>3.7 LDO som kunnskapsorganisasjon</w:t>
            </w:r>
            <w:r w:rsidR="005D085D">
              <w:rPr>
                <w:noProof/>
                <w:webHidden/>
              </w:rPr>
              <w:tab/>
            </w:r>
            <w:r w:rsidR="005D085D">
              <w:rPr>
                <w:noProof/>
                <w:webHidden/>
              </w:rPr>
              <w:fldChar w:fldCharType="begin"/>
            </w:r>
            <w:r w:rsidR="005D085D">
              <w:rPr>
                <w:noProof/>
                <w:webHidden/>
              </w:rPr>
              <w:instrText xml:space="preserve"> PAGEREF _Toc34915959 \h </w:instrText>
            </w:r>
            <w:r w:rsidR="005D085D">
              <w:rPr>
                <w:noProof/>
                <w:webHidden/>
              </w:rPr>
            </w:r>
            <w:r w:rsidR="005D085D">
              <w:rPr>
                <w:noProof/>
                <w:webHidden/>
              </w:rPr>
              <w:fldChar w:fldCharType="separate"/>
            </w:r>
            <w:r w:rsidR="00C81C64">
              <w:rPr>
                <w:noProof/>
                <w:webHidden/>
              </w:rPr>
              <w:t>24</w:t>
            </w:r>
            <w:r w:rsidR="005D085D">
              <w:rPr>
                <w:noProof/>
                <w:webHidden/>
              </w:rPr>
              <w:fldChar w:fldCharType="end"/>
            </w:r>
          </w:hyperlink>
        </w:p>
        <w:p w:rsidR="005D085D" w:rsidRDefault="00BD4FBF">
          <w:pPr>
            <w:pStyle w:val="INNH1"/>
            <w:rPr>
              <w:rFonts w:asciiTheme="minorHAnsi" w:eastAsiaTheme="minorEastAsia" w:hAnsiTheme="minorHAnsi" w:cstheme="minorBidi"/>
              <w:b w:val="0"/>
              <w:sz w:val="22"/>
              <w:szCs w:val="22"/>
            </w:rPr>
          </w:pPr>
          <w:hyperlink w:anchor="_Toc34915960" w:history="1">
            <w:r w:rsidR="005D085D" w:rsidRPr="007C10EA">
              <w:rPr>
                <w:rStyle w:val="Hyperkobling"/>
                <w:rFonts w:eastAsiaTheme="majorEastAsia"/>
                <w:lang w:val="nn-NO"/>
              </w:rPr>
              <w:t>Kapittel 4 Styring og kontroll i verksemda</w:t>
            </w:r>
            <w:r w:rsidR="005D085D">
              <w:rPr>
                <w:webHidden/>
              </w:rPr>
              <w:tab/>
            </w:r>
            <w:r w:rsidR="005D085D">
              <w:rPr>
                <w:webHidden/>
              </w:rPr>
              <w:fldChar w:fldCharType="begin"/>
            </w:r>
            <w:r w:rsidR="005D085D">
              <w:rPr>
                <w:webHidden/>
              </w:rPr>
              <w:instrText xml:space="preserve"> PAGEREF _Toc34915960 \h </w:instrText>
            </w:r>
            <w:r w:rsidR="005D085D">
              <w:rPr>
                <w:webHidden/>
              </w:rPr>
            </w:r>
            <w:r w:rsidR="005D085D">
              <w:rPr>
                <w:webHidden/>
              </w:rPr>
              <w:fldChar w:fldCharType="separate"/>
            </w:r>
            <w:r w:rsidR="00C81C64">
              <w:rPr>
                <w:webHidden/>
              </w:rPr>
              <w:t>25</w:t>
            </w:r>
            <w:r w:rsidR="005D085D">
              <w:rPr>
                <w:webHidden/>
              </w:rPr>
              <w:fldChar w:fldCharType="end"/>
            </w:r>
          </w:hyperlink>
        </w:p>
        <w:p w:rsidR="005D085D" w:rsidRPr="005D085D" w:rsidRDefault="00BD4FBF">
          <w:pPr>
            <w:pStyle w:val="INNH2"/>
            <w:tabs>
              <w:tab w:val="right" w:leader="dot" w:pos="9062"/>
            </w:tabs>
            <w:rPr>
              <w:rFonts w:asciiTheme="minorHAnsi" w:eastAsiaTheme="minorEastAsia" w:hAnsiTheme="minorHAnsi" w:cstheme="minorBidi"/>
              <w:noProof/>
              <w:sz w:val="22"/>
              <w:szCs w:val="22"/>
            </w:rPr>
          </w:pPr>
          <w:hyperlink w:anchor="_Toc34915961" w:history="1">
            <w:r w:rsidR="005D085D" w:rsidRPr="005D085D">
              <w:rPr>
                <w:rStyle w:val="Hyperkobling"/>
                <w:rFonts w:eastAsiaTheme="majorEastAsia"/>
                <w:noProof/>
                <w:lang w:val="nn-NO"/>
              </w:rPr>
              <w:t>Styring og kontroll</w:t>
            </w:r>
            <w:r w:rsidR="005D085D" w:rsidRPr="005D085D">
              <w:rPr>
                <w:noProof/>
                <w:webHidden/>
              </w:rPr>
              <w:tab/>
            </w:r>
            <w:r w:rsidR="005D085D" w:rsidRPr="005D085D">
              <w:rPr>
                <w:noProof/>
                <w:webHidden/>
              </w:rPr>
              <w:fldChar w:fldCharType="begin"/>
            </w:r>
            <w:r w:rsidR="005D085D" w:rsidRPr="005D085D">
              <w:rPr>
                <w:noProof/>
                <w:webHidden/>
              </w:rPr>
              <w:instrText xml:space="preserve"> PAGEREF _Toc34915961 \h </w:instrText>
            </w:r>
            <w:r w:rsidR="005D085D" w:rsidRPr="005D085D">
              <w:rPr>
                <w:noProof/>
                <w:webHidden/>
              </w:rPr>
            </w:r>
            <w:r w:rsidR="005D085D" w:rsidRPr="005D085D">
              <w:rPr>
                <w:noProof/>
                <w:webHidden/>
              </w:rPr>
              <w:fldChar w:fldCharType="separate"/>
            </w:r>
            <w:r w:rsidR="00C81C64">
              <w:rPr>
                <w:noProof/>
                <w:webHidden/>
              </w:rPr>
              <w:t>25</w:t>
            </w:r>
            <w:r w:rsidR="005D085D" w:rsidRPr="005D085D">
              <w:rPr>
                <w:noProof/>
                <w:webHidden/>
              </w:rPr>
              <w:fldChar w:fldCharType="end"/>
            </w:r>
          </w:hyperlink>
        </w:p>
        <w:p w:rsidR="005D085D" w:rsidRPr="005D085D" w:rsidRDefault="00BD4FBF">
          <w:pPr>
            <w:pStyle w:val="INNH2"/>
            <w:tabs>
              <w:tab w:val="right" w:leader="dot" w:pos="9062"/>
            </w:tabs>
            <w:rPr>
              <w:rFonts w:asciiTheme="minorHAnsi" w:eastAsiaTheme="minorEastAsia" w:hAnsiTheme="minorHAnsi" w:cstheme="minorBidi"/>
              <w:noProof/>
              <w:sz w:val="22"/>
              <w:szCs w:val="22"/>
            </w:rPr>
          </w:pPr>
          <w:hyperlink w:anchor="_Toc34915962" w:history="1">
            <w:r w:rsidR="005D085D" w:rsidRPr="005D085D">
              <w:rPr>
                <w:rStyle w:val="Hyperkobling"/>
                <w:rFonts w:eastAsiaTheme="majorEastAsia"/>
                <w:noProof/>
                <w:lang w:val="nn-NO"/>
              </w:rPr>
              <w:t>Aktivitetsplikta for likestilling</w:t>
            </w:r>
            <w:r w:rsidR="005D085D" w:rsidRPr="005D085D">
              <w:rPr>
                <w:noProof/>
                <w:webHidden/>
              </w:rPr>
              <w:tab/>
            </w:r>
            <w:r w:rsidR="005D085D" w:rsidRPr="005D085D">
              <w:rPr>
                <w:noProof/>
                <w:webHidden/>
              </w:rPr>
              <w:fldChar w:fldCharType="begin"/>
            </w:r>
            <w:r w:rsidR="005D085D" w:rsidRPr="005D085D">
              <w:rPr>
                <w:noProof/>
                <w:webHidden/>
              </w:rPr>
              <w:instrText xml:space="preserve"> PAGEREF _Toc34915962 \h </w:instrText>
            </w:r>
            <w:r w:rsidR="005D085D" w:rsidRPr="005D085D">
              <w:rPr>
                <w:noProof/>
                <w:webHidden/>
              </w:rPr>
            </w:r>
            <w:r w:rsidR="005D085D" w:rsidRPr="005D085D">
              <w:rPr>
                <w:noProof/>
                <w:webHidden/>
              </w:rPr>
              <w:fldChar w:fldCharType="separate"/>
            </w:r>
            <w:r w:rsidR="00C81C64">
              <w:rPr>
                <w:noProof/>
                <w:webHidden/>
              </w:rPr>
              <w:t>27</w:t>
            </w:r>
            <w:r w:rsidR="005D085D" w:rsidRPr="005D085D">
              <w:rPr>
                <w:noProof/>
                <w:webHidden/>
              </w:rPr>
              <w:fldChar w:fldCharType="end"/>
            </w:r>
          </w:hyperlink>
        </w:p>
        <w:p w:rsidR="005D085D" w:rsidRDefault="00BD4FBF">
          <w:pPr>
            <w:pStyle w:val="INNH1"/>
            <w:rPr>
              <w:rFonts w:asciiTheme="minorHAnsi" w:eastAsiaTheme="minorEastAsia" w:hAnsiTheme="minorHAnsi" w:cstheme="minorBidi"/>
              <w:b w:val="0"/>
              <w:sz w:val="22"/>
              <w:szCs w:val="22"/>
            </w:rPr>
          </w:pPr>
          <w:hyperlink w:anchor="_Toc34915963" w:history="1">
            <w:r w:rsidR="005D085D" w:rsidRPr="007C10EA">
              <w:rPr>
                <w:rStyle w:val="Hyperkobling"/>
              </w:rPr>
              <w:t>Kapittel 5 Vurdering av framtidsutsikter</w:t>
            </w:r>
            <w:r w:rsidR="005D085D">
              <w:rPr>
                <w:webHidden/>
              </w:rPr>
              <w:tab/>
            </w:r>
            <w:r w:rsidR="005D085D">
              <w:rPr>
                <w:webHidden/>
              </w:rPr>
              <w:fldChar w:fldCharType="begin"/>
            </w:r>
            <w:r w:rsidR="005D085D">
              <w:rPr>
                <w:webHidden/>
              </w:rPr>
              <w:instrText xml:space="preserve"> PAGEREF _Toc34915963 \h </w:instrText>
            </w:r>
            <w:r w:rsidR="005D085D">
              <w:rPr>
                <w:webHidden/>
              </w:rPr>
            </w:r>
            <w:r w:rsidR="005D085D">
              <w:rPr>
                <w:webHidden/>
              </w:rPr>
              <w:fldChar w:fldCharType="separate"/>
            </w:r>
            <w:r w:rsidR="00C81C64">
              <w:rPr>
                <w:webHidden/>
              </w:rPr>
              <w:t>35</w:t>
            </w:r>
            <w:r w:rsidR="005D085D">
              <w:rPr>
                <w:webHidden/>
              </w:rPr>
              <w:fldChar w:fldCharType="end"/>
            </w:r>
          </w:hyperlink>
        </w:p>
        <w:p w:rsidR="005D085D" w:rsidRDefault="00BD4FBF">
          <w:pPr>
            <w:pStyle w:val="INNH1"/>
            <w:rPr>
              <w:rFonts w:asciiTheme="minorHAnsi" w:eastAsiaTheme="minorEastAsia" w:hAnsiTheme="minorHAnsi" w:cstheme="minorBidi"/>
              <w:b w:val="0"/>
              <w:sz w:val="22"/>
              <w:szCs w:val="22"/>
            </w:rPr>
          </w:pPr>
          <w:hyperlink w:anchor="_Toc34915964" w:history="1">
            <w:r w:rsidR="005D085D" w:rsidRPr="007C10EA">
              <w:rPr>
                <w:rStyle w:val="Hyperkobling"/>
              </w:rPr>
              <w:t>Kapittel 6 Årsrekneskapen</w:t>
            </w:r>
            <w:r w:rsidR="005D085D">
              <w:rPr>
                <w:webHidden/>
              </w:rPr>
              <w:tab/>
            </w:r>
            <w:r w:rsidR="005D085D">
              <w:rPr>
                <w:webHidden/>
              </w:rPr>
              <w:fldChar w:fldCharType="begin"/>
            </w:r>
            <w:r w:rsidR="005D085D">
              <w:rPr>
                <w:webHidden/>
              </w:rPr>
              <w:instrText xml:space="preserve"> PAGEREF _Toc34915964 \h </w:instrText>
            </w:r>
            <w:r w:rsidR="005D085D">
              <w:rPr>
                <w:webHidden/>
              </w:rPr>
            </w:r>
            <w:r w:rsidR="005D085D">
              <w:rPr>
                <w:webHidden/>
              </w:rPr>
              <w:fldChar w:fldCharType="separate"/>
            </w:r>
            <w:r w:rsidR="00C81C64">
              <w:rPr>
                <w:webHidden/>
              </w:rPr>
              <w:t>36</w:t>
            </w:r>
            <w:r w:rsidR="005D085D">
              <w:rPr>
                <w:webHidden/>
              </w:rPr>
              <w:fldChar w:fldCharType="end"/>
            </w:r>
          </w:hyperlink>
        </w:p>
        <w:p w:rsidR="005859D1" w:rsidRDefault="00D3127B">
          <w:pPr>
            <w:rPr>
              <w:b/>
              <w:noProof/>
            </w:rPr>
          </w:pPr>
          <w:r>
            <w:rPr>
              <w:b/>
              <w:noProof/>
            </w:rPr>
            <w:fldChar w:fldCharType="end"/>
          </w:r>
        </w:p>
        <w:p w:rsidR="00C72811" w:rsidRDefault="00BD4FBF" w:rsidP="00C72811">
          <w:pPr>
            <w:rPr>
              <w:b/>
              <w:bCs/>
            </w:rPr>
          </w:pPr>
        </w:p>
      </w:sdtContent>
    </w:sdt>
    <w:bookmarkStart w:id="0" w:name="_Toc34915950" w:displacedByCustomXml="prev"/>
    <w:p w:rsidR="00650938" w:rsidRPr="00F62D59" w:rsidRDefault="00650938" w:rsidP="00650938">
      <w:pPr>
        <w:pStyle w:val="Overskrift1"/>
        <w:rPr>
          <w:sz w:val="28"/>
          <w:szCs w:val="28"/>
        </w:rPr>
      </w:pPr>
      <w:r>
        <w:t>Leiaren sine føreord</w:t>
      </w:r>
      <w:bookmarkEnd w:id="0"/>
      <w:r w:rsidRPr="006202FB">
        <w:t xml:space="preserve"> </w:t>
      </w:r>
      <w:r w:rsidRPr="00F62D59">
        <w:rPr>
          <w:sz w:val="28"/>
          <w:szCs w:val="28"/>
        </w:rPr>
        <w:t xml:space="preserve"> </w:t>
      </w:r>
    </w:p>
    <w:p w:rsidR="00B42DBC" w:rsidRDefault="00B42DBC" w:rsidP="00650938">
      <w:pPr>
        <w:spacing w:before="0" w:after="160" w:line="259" w:lineRule="auto"/>
        <w:rPr>
          <w:rFonts w:eastAsiaTheme="minorHAnsi"/>
          <w:sz w:val="22"/>
          <w:szCs w:val="22"/>
          <w:lang w:val="nn-NO" w:eastAsia="en-US"/>
        </w:rPr>
      </w:pPr>
    </w:p>
    <w:p w:rsidR="00EB3474" w:rsidRPr="00EB3474" w:rsidRDefault="00EB3474" w:rsidP="00EB3474">
      <w:pPr>
        <w:rPr>
          <w:lang w:val="nn-NO"/>
        </w:rPr>
      </w:pPr>
      <w:r w:rsidRPr="00EB3474">
        <w:rPr>
          <w:lang w:val="nn-NO"/>
        </w:rPr>
        <w:t xml:space="preserve">I 2019 har LDO utført </w:t>
      </w:r>
      <w:r w:rsidR="00A6060D">
        <w:rPr>
          <w:lang w:val="nn-NO"/>
        </w:rPr>
        <w:t>oppgåver</w:t>
      </w:r>
      <w:r w:rsidRPr="00EB3474">
        <w:rPr>
          <w:lang w:val="nn-NO"/>
        </w:rPr>
        <w:t xml:space="preserve"> på alle områder </w:t>
      </w:r>
      <w:r w:rsidR="00A6060D">
        <w:rPr>
          <w:lang w:val="nn-NO"/>
        </w:rPr>
        <w:t>innanfor</w:t>
      </w:r>
      <w:r w:rsidRPr="00EB3474">
        <w:rPr>
          <w:lang w:val="nn-NO"/>
        </w:rPr>
        <w:t xml:space="preserve"> </w:t>
      </w:r>
      <w:r w:rsidR="00255232">
        <w:rPr>
          <w:lang w:val="nn-NO"/>
        </w:rPr>
        <w:t>ombodet</w:t>
      </w:r>
      <w:r w:rsidR="008A5F0E">
        <w:rPr>
          <w:lang w:val="nn-NO"/>
        </w:rPr>
        <w:t xml:space="preserve"> sitt</w:t>
      </w:r>
      <w:r w:rsidRPr="00EB3474">
        <w:rPr>
          <w:lang w:val="nn-NO"/>
        </w:rPr>
        <w:t xml:space="preserve"> lovbestemte mandat, og i tråd med den </w:t>
      </w:r>
      <w:r w:rsidR="000E23B0">
        <w:rPr>
          <w:lang w:val="nn-NO"/>
        </w:rPr>
        <w:t>langsiktige strategien og fastse</w:t>
      </w:r>
      <w:r w:rsidRPr="00EB3474">
        <w:rPr>
          <w:lang w:val="nn-NO"/>
        </w:rPr>
        <w:t>tt aktivitetsplan for dette året.</w:t>
      </w:r>
    </w:p>
    <w:p w:rsidR="00EB3474" w:rsidRDefault="00B42DBC" w:rsidP="00EB3474">
      <w:r w:rsidRPr="001D0BDE">
        <w:rPr>
          <w:lang w:val="nn-NO"/>
        </w:rPr>
        <w:br/>
      </w:r>
      <w:r w:rsidR="00A6060D" w:rsidRPr="001D0BDE">
        <w:rPr>
          <w:lang w:val="nn-NO"/>
        </w:rPr>
        <w:t>Innanfor</w:t>
      </w:r>
      <w:r w:rsidR="00EB3474" w:rsidRPr="001D0BDE">
        <w:rPr>
          <w:lang w:val="nn-NO"/>
        </w:rPr>
        <w:t xml:space="preserve"> </w:t>
      </w:r>
      <w:r w:rsidR="00255232" w:rsidRPr="001D0BDE">
        <w:rPr>
          <w:lang w:val="nn-NO"/>
        </w:rPr>
        <w:t>ombodet</w:t>
      </w:r>
      <w:r w:rsidR="008A5F0E">
        <w:rPr>
          <w:lang w:val="nn-NO"/>
        </w:rPr>
        <w:t xml:space="preserve"> sitt</w:t>
      </w:r>
      <w:r w:rsidR="00F77ED6">
        <w:rPr>
          <w:lang w:val="nn-NO"/>
        </w:rPr>
        <w:t xml:space="preserve"> rettleiing</w:t>
      </w:r>
      <w:r w:rsidR="00EB3474" w:rsidRPr="001D0BDE">
        <w:rPr>
          <w:lang w:val="nn-NO"/>
        </w:rPr>
        <w:t>sman</w:t>
      </w:r>
      <w:r w:rsidR="00CA3554" w:rsidRPr="001D0BDE">
        <w:rPr>
          <w:lang w:val="nn-NO"/>
        </w:rPr>
        <w:t>dat har ombodet gjeve svar på omlag</w:t>
      </w:r>
      <w:r w:rsidR="00477933" w:rsidRPr="001D0BDE">
        <w:rPr>
          <w:lang w:val="nn-NO"/>
        </w:rPr>
        <w:t xml:space="preserve"> 2000 førespurnadar</w:t>
      </w:r>
      <w:r w:rsidR="00EB3474" w:rsidRPr="001D0BDE">
        <w:rPr>
          <w:lang w:val="nn-NO"/>
        </w:rPr>
        <w:t xml:space="preserve"> om likestilling- og disk</w:t>
      </w:r>
      <w:r w:rsidR="00477933" w:rsidRPr="001D0BDE">
        <w:rPr>
          <w:lang w:val="nn-NO"/>
        </w:rPr>
        <w:t>rimineringsfagle</w:t>
      </w:r>
      <w:r w:rsidR="00CA3554" w:rsidRPr="001D0BDE">
        <w:rPr>
          <w:lang w:val="nn-NO"/>
        </w:rPr>
        <w:t>ge spørsmål</w:t>
      </w:r>
      <w:r w:rsidR="00EB3474" w:rsidRPr="001D0BDE">
        <w:rPr>
          <w:lang w:val="nn-NO"/>
        </w:rPr>
        <w:t>. Dette er i tråd med nivået de</w:t>
      </w:r>
      <w:r w:rsidR="00477933" w:rsidRPr="001D0BDE">
        <w:rPr>
          <w:lang w:val="nn-NO"/>
        </w:rPr>
        <w:t>i</w:t>
      </w:r>
      <w:r w:rsidR="00EB3474" w:rsidRPr="001D0BDE">
        <w:rPr>
          <w:lang w:val="nn-NO"/>
        </w:rPr>
        <w:t xml:space="preserve"> se</w:t>
      </w:r>
      <w:r w:rsidR="00477933" w:rsidRPr="001D0BDE">
        <w:rPr>
          <w:lang w:val="nn-NO"/>
        </w:rPr>
        <w:t>inare åra</w:t>
      </w:r>
      <w:r w:rsidR="00EB3474" w:rsidRPr="001D0BDE">
        <w:rPr>
          <w:lang w:val="nn-NO"/>
        </w:rPr>
        <w:t>. F</w:t>
      </w:r>
      <w:r w:rsidR="00891A24" w:rsidRPr="001D0BDE">
        <w:rPr>
          <w:lang w:val="nn-NO"/>
        </w:rPr>
        <w:t>ørebels</w:t>
      </w:r>
      <w:r w:rsidR="00EB3474" w:rsidRPr="001D0BDE">
        <w:rPr>
          <w:lang w:val="nn-NO"/>
        </w:rPr>
        <w:t xml:space="preserve"> </w:t>
      </w:r>
      <w:r w:rsidR="00833383" w:rsidRPr="001D0BDE">
        <w:rPr>
          <w:lang w:val="nn-NO"/>
        </w:rPr>
        <w:t xml:space="preserve">ser det </w:t>
      </w:r>
      <w:r w:rsidR="00477933" w:rsidRPr="001D0BDE">
        <w:rPr>
          <w:lang w:val="nn-NO"/>
        </w:rPr>
        <w:t>ikkje</w:t>
      </w:r>
      <w:r w:rsidR="00833383" w:rsidRPr="001D0BDE">
        <w:rPr>
          <w:lang w:val="nn-NO"/>
        </w:rPr>
        <w:t xml:space="preserve"> ut til at </w:t>
      </w:r>
      <w:r w:rsidR="00477933" w:rsidRPr="001D0BDE">
        <w:rPr>
          <w:lang w:val="nn-NO"/>
        </w:rPr>
        <w:t>etableringa</w:t>
      </w:r>
      <w:r w:rsidR="00EB3474" w:rsidRPr="001D0BDE">
        <w:rPr>
          <w:lang w:val="nn-NO"/>
        </w:rPr>
        <w:t xml:space="preserve"> av Diskrimineringsnemnda i Bergen ha</w:t>
      </w:r>
      <w:r w:rsidR="00833383" w:rsidRPr="001D0BDE">
        <w:rPr>
          <w:lang w:val="nn-NO"/>
        </w:rPr>
        <w:t>r</w:t>
      </w:r>
      <w:r w:rsidR="00EB3474" w:rsidRPr="001D0BDE">
        <w:rPr>
          <w:lang w:val="nn-NO"/>
        </w:rPr>
        <w:t xml:space="preserve"> </w:t>
      </w:r>
      <w:r w:rsidR="00046311">
        <w:rPr>
          <w:lang w:val="nn-NO"/>
        </w:rPr>
        <w:t>hatt noko å seie for</w:t>
      </w:r>
      <w:r w:rsidR="00EB3474" w:rsidRPr="001D0BDE">
        <w:rPr>
          <w:lang w:val="nn-NO"/>
        </w:rPr>
        <w:t xml:space="preserve"> b</w:t>
      </w:r>
      <w:r w:rsidR="00405970" w:rsidRPr="001D0BDE">
        <w:rPr>
          <w:lang w:val="nn-NO"/>
        </w:rPr>
        <w:t xml:space="preserve">ehovet for </w:t>
      </w:r>
      <w:r w:rsidR="00477933" w:rsidRPr="001D0BDE">
        <w:rPr>
          <w:lang w:val="nn-NO"/>
        </w:rPr>
        <w:t>rettleiing</w:t>
      </w:r>
      <w:r w:rsidR="00EB3474" w:rsidRPr="001D0BDE">
        <w:rPr>
          <w:lang w:val="nn-NO"/>
        </w:rPr>
        <w:t xml:space="preserve"> </w:t>
      </w:r>
      <w:r w:rsidR="00AE6728" w:rsidRPr="001D0BDE">
        <w:rPr>
          <w:lang w:val="nn-NO"/>
        </w:rPr>
        <w:t>frå</w:t>
      </w:r>
      <w:r w:rsidR="00EB3474" w:rsidRPr="001D0BDE">
        <w:rPr>
          <w:lang w:val="nn-NO"/>
        </w:rPr>
        <w:t xml:space="preserve"> LDO</w:t>
      </w:r>
      <w:r w:rsidR="00891A24" w:rsidRPr="001D0BDE">
        <w:rPr>
          <w:lang w:val="nn-NO"/>
        </w:rPr>
        <w:t>.</w:t>
      </w:r>
      <w:r w:rsidR="00F41566" w:rsidRPr="001D0BDE">
        <w:rPr>
          <w:lang w:val="nn-NO"/>
        </w:rPr>
        <w:t xml:space="preserve"> Det er likevel grunn til å tru</w:t>
      </w:r>
      <w:r w:rsidR="00EB3474" w:rsidRPr="001D0BDE">
        <w:rPr>
          <w:lang w:val="nn-NO"/>
        </w:rPr>
        <w:t xml:space="preserve"> at </w:t>
      </w:r>
      <w:r w:rsidR="00F41566" w:rsidRPr="001D0BDE">
        <w:rPr>
          <w:lang w:val="nn-NO"/>
        </w:rPr>
        <w:t>talet på førespurnadar om rettleiing vil auke</w:t>
      </w:r>
      <w:r w:rsidR="00EB3474" w:rsidRPr="001D0BDE">
        <w:rPr>
          <w:lang w:val="nn-NO"/>
        </w:rPr>
        <w:t xml:space="preserve"> i 2020, på grunn av de</w:t>
      </w:r>
      <w:r w:rsidR="00F41566" w:rsidRPr="001D0BDE">
        <w:rPr>
          <w:lang w:val="nn-NO"/>
        </w:rPr>
        <w:t>i nye oppgå</w:t>
      </w:r>
      <w:r w:rsidR="00EB3474" w:rsidRPr="001D0BDE">
        <w:rPr>
          <w:lang w:val="nn-NO"/>
        </w:rPr>
        <w:t xml:space="preserve">vene </w:t>
      </w:r>
      <w:r w:rsidR="00255232" w:rsidRPr="001D0BDE">
        <w:rPr>
          <w:lang w:val="nn-NO"/>
        </w:rPr>
        <w:t>ombodet</w:t>
      </w:r>
      <w:r w:rsidR="00030C5A" w:rsidRPr="001D0BDE">
        <w:rPr>
          <w:lang w:val="nn-NO"/>
        </w:rPr>
        <w:t xml:space="preserve"> har fått knytt</w:t>
      </w:r>
      <w:r w:rsidR="00F41566" w:rsidRPr="001D0BDE">
        <w:rPr>
          <w:lang w:val="nn-NO"/>
        </w:rPr>
        <w:t xml:space="preserve"> til den forsterka</w:t>
      </w:r>
      <w:r w:rsidR="00EB3474" w:rsidRPr="001D0BDE">
        <w:rPr>
          <w:lang w:val="nn-NO"/>
        </w:rPr>
        <w:t xml:space="preserve"> aktivitets- og </w:t>
      </w:r>
      <w:r w:rsidR="000C6510">
        <w:rPr>
          <w:lang w:val="nn-NO"/>
        </w:rPr>
        <w:t>utgreiing</w:t>
      </w:r>
      <w:r w:rsidR="00F41566" w:rsidRPr="001D0BDE">
        <w:rPr>
          <w:lang w:val="nn-NO"/>
        </w:rPr>
        <w:t>splikta, og nytt ha</w:t>
      </w:r>
      <w:r w:rsidR="00EB3474" w:rsidRPr="001D0BDE">
        <w:rPr>
          <w:lang w:val="nn-NO"/>
        </w:rPr>
        <w:t>ndhevi</w:t>
      </w:r>
      <w:r w:rsidR="00F41566" w:rsidRPr="001D0BDE">
        <w:rPr>
          <w:lang w:val="nn-NO"/>
        </w:rPr>
        <w:t>ng</w:t>
      </w:r>
      <w:r w:rsidR="005B413B" w:rsidRPr="001D0BDE">
        <w:rPr>
          <w:lang w:val="nn-NO"/>
        </w:rPr>
        <w:t>s</w:t>
      </w:r>
      <w:r w:rsidR="006F48BA" w:rsidRPr="001D0BDE">
        <w:rPr>
          <w:lang w:val="nn-NO"/>
        </w:rPr>
        <w:t>apparat</w:t>
      </w:r>
      <w:r w:rsidR="00F41566" w:rsidRPr="001D0BDE">
        <w:rPr>
          <w:lang w:val="nn-NO"/>
        </w:rPr>
        <w:t xml:space="preserve"> for saker om seksuell</w:t>
      </w:r>
      <w:r w:rsidR="00EB3474" w:rsidRPr="001D0BDE">
        <w:rPr>
          <w:lang w:val="nn-NO"/>
        </w:rPr>
        <w:t xml:space="preserve"> trakassering. Som e</w:t>
      </w:r>
      <w:r w:rsidR="005B413B" w:rsidRPr="001D0BDE">
        <w:rPr>
          <w:lang w:val="nn-NO"/>
        </w:rPr>
        <w:t>i</w:t>
      </w:r>
      <w:r w:rsidR="00EB3474" w:rsidRPr="001D0BDE">
        <w:rPr>
          <w:lang w:val="nn-NO"/>
        </w:rPr>
        <w:t xml:space="preserve">n </w:t>
      </w:r>
      <w:r w:rsidR="005B413B" w:rsidRPr="001D0BDE">
        <w:rPr>
          <w:lang w:val="nn-NO"/>
        </w:rPr>
        <w:t>vesentleg</w:t>
      </w:r>
      <w:r w:rsidR="00EB3474" w:rsidRPr="001D0BDE">
        <w:rPr>
          <w:lang w:val="nn-NO"/>
        </w:rPr>
        <w:t xml:space="preserve"> del av </w:t>
      </w:r>
      <w:r w:rsidR="005B413B" w:rsidRPr="001D0BDE">
        <w:rPr>
          <w:lang w:val="nn-NO"/>
        </w:rPr>
        <w:t>rettleiings</w:t>
      </w:r>
      <w:r w:rsidR="00EB3474" w:rsidRPr="001D0BDE">
        <w:rPr>
          <w:lang w:val="nn-NO"/>
        </w:rPr>
        <w:t xml:space="preserve">aktiviteten har LDO også i 2019 </w:t>
      </w:r>
      <w:r w:rsidR="005B413B" w:rsidRPr="001D0BDE">
        <w:rPr>
          <w:lang w:val="nn-NO"/>
        </w:rPr>
        <w:t xml:space="preserve">halde ei rekke </w:t>
      </w:r>
      <w:r w:rsidR="00255C60" w:rsidRPr="001D0BDE">
        <w:rPr>
          <w:lang w:val="nn-NO"/>
        </w:rPr>
        <w:t>kurs om ulike tema</w:t>
      </w:r>
      <w:r w:rsidR="00EB3474" w:rsidRPr="001D0BDE">
        <w:rPr>
          <w:lang w:val="nn-NO"/>
        </w:rPr>
        <w:t xml:space="preserve"> </w:t>
      </w:r>
      <w:r w:rsidR="00A6060D" w:rsidRPr="001D0BDE">
        <w:rPr>
          <w:lang w:val="nn-NO"/>
        </w:rPr>
        <w:t>innanfor</w:t>
      </w:r>
      <w:r w:rsidR="00970D57" w:rsidRPr="001D0BDE">
        <w:rPr>
          <w:lang w:val="nn-NO"/>
        </w:rPr>
        <w:t xml:space="preserve"> vårt rettsområde, med godt fra</w:t>
      </w:r>
      <w:r w:rsidR="00255C60" w:rsidRPr="001D0BDE">
        <w:rPr>
          <w:lang w:val="nn-NO"/>
        </w:rPr>
        <w:t>m</w:t>
      </w:r>
      <w:r w:rsidR="00EB3474" w:rsidRPr="001D0BDE">
        <w:rPr>
          <w:lang w:val="nn-NO"/>
        </w:rPr>
        <w:t>møte. Det gode samarbe</w:t>
      </w:r>
      <w:r w:rsidR="000770C4">
        <w:rPr>
          <w:lang w:val="nn-NO"/>
        </w:rPr>
        <w:t>idet med Arbeidstilsyn</w:t>
      </w:r>
      <w:r w:rsidR="00014E1E">
        <w:rPr>
          <w:lang w:val="nn-NO"/>
        </w:rPr>
        <w:t>et</w:t>
      </w:r>
      <w:r w:rsidR="008C117D">
        <w:rPr>
          <w:lang w:val="nn-NO"/>
        </w:rPr>
        <w:t>,</w:t>
      </w:r>
      <w:r w:rsidR="00014E1E">
        <w:rPr>
          <w:lang w:val="nn-NO"/>
        </w:rPr>
        <w:t xml:space="preserve"> i samanheng med</w:t>
      </w:r>
      <w:r w:rsidR="00EB3474" w:rsidRPr="001D0BDE">
        <w:rPr>
          <w:lang w:val="nn-NO"/>
        </w:rPr>
        <w:t xml:space="preserve"> </w:t>
      </w:r>
      <w:r w:rsidR="00014E1E">
        <w:rPr>
          <w:lang w:val="nn-NO"/>
        </w:rPr>
        <w:t xml:space="preserve">kurs om </w:t>
      </w:r>
      <w:r w:rsidR="00EB3474" w:rsidRPr="001D0BDE">
        <w:rPr>
          <w:lang w:val="nn-NO"/>
        </w:rPr>
        <w:t>seksuell trakassering i arbeidslivet</w:t>
      </w:r>
      <w:r w:rsidR="008C117D">
        <w:rPr>
          <w:lang w:val="nn-NO"/>
        </w:rPr>
        <w:t>,</w:t>
      </w:r>
      <w:r w:rsidR="00EB3474" w:rsidRPr="001D0BDE">
        <w:rPr>
          <w:lang w:val="nn-NO"/>
        </w:rPr>
        <w:t xml:space="preserve"> er </w:t>
      </w:r>
      <w:r w:rsidR="0016278F" w:rsidRPr="001D0BDE">
        <w:rPr>
          <w:lang w:val="nn-NO"/>
        </w:rPr>
        <w:t>ført vidare</w:t>
      </w:r>
      <w:r w:rsidR="00EB3474" w:rsidRPr="001D0BDE">
        <w:rPr>
          <w:lang w:val="nn-NO"/>
        </w:rPr>
        <w:t xml:space="preserve"> i 2019. I tillegg </w:t>
      </w:r>
      <w:r w:rsidR="0016278F" w:rsidRPr="001D0BDE">
        <w:rPr>
          <w:lang w:val="nn-NO"/>
        </w:rPr>
        <w:t>held</w:t>
      </w:r>
      <w:r w:rsidR="00EB3474" w:rsidRPr="001D0BDE">
        <w:rPr>
          <w:lang w:val="nn-NO"/>
        </w:rPr>
        <w:t xml:space="preserve"> </w:t>
      </w:r>
      <w:r w:rsidR="00255232" w:rsidRPr="001D0BDE">
        <w:rPr>
          <w:lang w:val="nn-NO"/>
        </w:rPr>
        <w:t>ombodet</w:t>
      </w:r>
      <w:r w:rsidR="007C208E">
        <w:rPr>
          <w:lang w:val="nn-NO"/>
        </w:rPr>
        <w:t xml:space="preserve"> sine</w:t>
      </w:r>
      <w:r w:rsidR="00EB3474" w:rsidRPr="001D0BDE">
        <w:rPr>
          <w:lang w:val="nn-NO"/>
        </w:rPr>
        <w:t xml:space="preserve"> ansatte og </w:t>
      </w:r>
      <w:r w:rsidR="00255232" w:rsidRPr="001D0BDE">
        <w:rPr>
          <w:lang w:val="nn-NO"/>
        </w:rPr>
        <w:t>ombodet</w:t>
      </w:r>
      <w:r w:rsidR="00EB3474" w:rsidRPr="001D0BDE">
        <w:rPr>
          <w:lang w:val="nn-NO"/>
        </w:rPr>
        <w:t xml:space="preserve"> </w:t>
      </w:r>
      <w:r w:rsidR="0016278F" w:rsidRPr="001D0BDE">
        <w:rPr>
          <w:lang w:val="nn-NO"/>
        </w:rPr>
        <w:t xml:space="preserve">sjølv ei </w:t>
      </w:r>
      <w:r w:rsidR="00EB3474" w:rsidRPr="001D0BDE">
        <w:rPr>
          <w:lang w:val="nn-NO"/>
        </w:rPr>
        <w:t xml:space="preserve">rekke </w:t>
      </w:r>
      <w:r w:rsidR="00C97ECC" w:rsidRPr="001D0BDE">
        <w:rPr>
          <w:lang w:val="nn-NO"/>
        </w:rPr>
        <w:t>føredrag, deltek i debatta</w:t>
      </w:r>
      <w:r w:rsidR="007C4AD1" w:rsidRPr="001D0BDE">
        <w:rPr>
          <w:lang w:val="nn-NO"/>
        </w:rPr>
        <w:t>r og seminar</w:t>
      </w:r>
      <w:r w:rsidR="00EB3474" w:rsidRPr="001D0BDE">
        <w:rPr>
          <w:lang w:val="nn-NO"/>
        </w:rPr>
        <w:t xml:space="preserve"> mv. </w:t>
      </w:r>
      <w:r w:rsidR="00EB3474" w:rsidRPr="001D0BDE">
        <w:rPr>
          <w:lang w:val="nn-NO"/>
        </w:rPr>
        <w:br/>
      </w:r>
      <w:r w:rsidR="00EB3474" w:rsidRPr="001D0BDE">
        <w:rPr>
          <w:lang w:val="nn-NO"/>
        </w:rPr>
        <w:br/>
        <w:t xml:space="preserve">Ved slutten av året var </w:t>
      </w:r>
      <w:r w:rsidR="00255232" w:rsidRPr="001D0BDE">
        <w:rPr>
          <w:lang w:val="nn-NO"/>
        </w:rPr>
        <w:t>ombodet</w:t>
      </w:r>
      <w:r w:rsidR="00954C07">
        <w:rPr>
          <w:lang w:val="nn-NO"/>
        </w:rPr>
        <w:t xml:space="preserve"> sine</w:t>
      </w:r>
      <w:r w:rsidR="00EB3474" w:rsidRPr="001D0BDE">
        <w:rPr>
          <w:lang w:val="nn-NO"/>
        </w:rPr>
        <w:t xml:space="preserve"> </w:t>
      </w:r>
      <w:r w:rsidR="00000D7E" w:rsidRPr="001D0BDE">
        <w:rPr>
          <w:lang w:val="nn-NO"/>
        </w:rPr>
        <w:t>nye nettsider klare til bruk. Sidene</w:t>
      </w:r>
      <w:r w:rsidR="00EB3474" w:rsidRPr="001D0BDE">
        <w:rPr>
          <w:lang w:val="nn-NO"/>
        </w:rPr>
        <w:t xml:space="preserve"> har </w:t>
      </w:r>
      <w:r w:rsidR="00000D7E" w:rsidRPr="001D0BDE">
        <w:rPr>
          <w:lang w:val="nn-NO"/>
        </w:rPr>
        <w:t>g</w:t>
      </w:r>
      <w:r w:rsidR="0075604B" w:rsidRPr="001D0BDE">
        <w:rPr>
          <w:lang w:val="nn-NO"/>
        </w:rPr>
        <w:t>ått gjennom ei</w:t>
      </w:r>
      <w:r w:rsidR="00000D7E" w:rsidRPr="001D0BDE">
        <w:rPr>
          <w:lang w:val="nn-NO"/>
        </w:rPr>
        <w:t xml:space="preserve"> forvandling</w:t>
      </w:r>
      <w:r w:rsidR="00EB3474" w:rsidRPr="001D0BDE">
        <w:rPr>
          <w:lang w:val="nn-NO"/>
        </w:rPr>
        <w:t xml:space="preserve"> både </w:t>
      </w:r>
      <w:r w:rsidR="00DF3C99" w:rsidRPr="001D0BDE">
        <w:rPr>
          <w:lang w:val="nn-NO"/>
        </w:rPr>
        <w:t>når det gjeld</w:t>
      </w:r>
      <w:r w:rsidR="00EB3474" w:rsidRPr="001D0BDE">
        <w:rPr>
          <w:lang w:val="nn-NO"/>
        </w:rPr>
        <w:t xml:space="preserve"> </w:t>
      </w:r>
      <w:r w:rsidR="00DF3C99" w:rsidRPr="001D0BDE">
        <w:rPr>
          <w:lang w:val="nn-NO"/>
        </w:rPr>
        <w:t>utsjåande</w:t>
      </w:r>
      <w:r w:rsidR="00EB3474" w:rsidRPr="001D0BDE">
        <w:rPr>
          <w:lang w:val="nn-NO"/>
        </w:rPr>
        <w:t xml:space="preserve">, </w:t>
      </w:r>
      <w:r w:rsidR="00ED0CB9">
        <w:rPr>
          <w:lang w:val="nn-NO"/>
        </w:rPr>
        <w:t>innhald og tilgjengelegheit.</w:t>
      </w:r>
      <w:r w:rsidR="00DF3C99" w:rsidRPr="001D0BDE">
        <w:rPr>
          <w:lang w:val="nn-NO"/>
        </w:rPr>
        <w:t xml:space="preserve"> </w:t>
      </w:r>
      <w:r w:rsidR="00EB3474" w:rsidRPr="001D0BDE">
        <w:rPr>
          <w:lang w:val="nn-NO"/>
        </w:rPr>
        <w:t xml:space="preserve">Nettsidene er blant </w:t>
      </w:r>
      <w:r w:rsidR="00E57AF3" w:rsidRPr="001D0BDE">
        <w:rPr>
          <w:lang w:val="nn-NO"/>
        </w:rPr>
        <w:t>anna</w:t>
      </w:r>
      <w:r w:rsidR="00EB3474" w:rsidRPr="001D0BDE">
        <w:rPr>
          <w:lang w:val="nn-NO"/>
        </w:rPr>
        <w:t xml:space="preserve"> </w:t>
      </w:r>
      <w:r w:rsidR="00E57AF3" w:rsidRPr="001D0BDE">
        <w:rPr>
          <w:lang w:val="nn-NO"/>
        </w:rPr>
        <w:t>meint</w:t>
      </w:r>
      <w:r w:rsidR="00EB3474" w:rsidRPr="001D0BDE">
        <w:rPr>
          <w:lang w:val="nn-NO"/>
        </w:rPr>
        <w:t xml:space="preserve"> å </w:t>
      </w:r>
      <w:r w:rsidR="00741972">
        <w:rPr>
          <w:lang w:val="nn-NO"/>
        </w:rPr>
        <w:t>supplere ombodet si</w:t>
      </w:r>
      <w:r w:rsidR="000F3776" w:rsidRPr="001D0BDE">
        <w:rPr>
          <w:lang w:val="nn-NO"/>
        </w:rPr>
        <w:t xml:space="preserve"> </w:t>
      </w:r>
      <w:r w:rsidR="00F5138E" w:rsidRPr="00F5138E">
        <w:rPr>
          <w:lang w:val="nn-NO"/>
        </w:rPr>
        <w:t xml:space="preserve">munnlege og skriftlege </w:t>
      </w:r>
      <w:r w:rsidR="000F3776" w:rsidRPr="001D0BDE">
        <w:rPr>
          <w:lang w:val="nn-NO"/>
        </w:rPr>
        <w:t>rettleiings</w:t>
      </w:r>
      <w:r w:rsidR="00EB3474" w:rsidRPr="001D0BDE">
        <w:rPr>
          <w:lang w:val="nn-NO"/>
        </w:rPr>
        <w:t>tjen</w:t>
      </w:r>
      <w:r w:rsidR="00405970" w:rsidRPr="001D0BDE">
        <w:rPr>
          <w:lang w:val="nn-NO"/>
        </w:rPr>
        <w:t xml:space="preserve">este. I 2019 har </w:t>
      </w:r>
      <w:r w:rsidR="007E25DC" w:rsidRPr="001D0BDE">
        <w:rPr>
          <w:lang w:val="nn-NO"/>
        </w:rPr>
        <w:t xml:space="preserve">ombodet også vore meir til stades </w:t>
      </w:r>
      <w:r w:rsidR="00B45039" w:rsidRPr="001D0BDE">
        <w:rPr>
          <w:lang w:val="nn-NO"/>
        </w:rPr>
        <w:t>på sosiale medier, ei</w:t>
      </w:r>
      <w:r w:rsidR="00EB3474" w:rsidRPr="001D0BDE">
        <w:rPr>
          <w:lang w:val="nn-NO"/>
        </w:rPr>
        <w:t xml:space="preserve"> satsing som </w:t>
      </w:r>
      <w:r w:rsidR="006F7D3E" w:rsidRPr="001D0BDE">
        <w:rPr>
          <w:lang w:val="nn-NO"/>
        </w:rPr>
        <w:t xml:space="preserve">blir ført vidare </w:t>
      </w:r>
      <w:r w:rsidR="00EB3474" w:rsidRPr="001D0BDE">
        <w:rPr>
          <w:lang w:val="nn-NO"/>
        </w:rPr>
        <w:t>i</w:t>
      </w:r>
      <w:r w:rsidR="00E15A34" w:rsidRPr="001D0BDE">
        <w:rPr>
          <w:lang w:val="nn-NO"/>
        </w:rPr>
        <w:t xml:space="preserve"> 2020. </w:t>
      </w:r>
      <w:r w:rsidR="00E15A34" w:rsidRPr="001D0BDE">
        <w:rPr>
          <w:lang w:val="nn-NO"/>
        </w:rPr>
        <w:br/>
      </w:r>
      <w:r w:rsidR="00E15A34" w:rsidRPr="001D0BDE">
        <w:rPr>
          <w:lang w:val="nn-NO"/>
        </w:rPr>
        <w:br/>
      </w:r>
      <w:r w:rsidR="00E15A34" w:rsidRPr="001D0BDE">
        <w:rPr>
          <w:lang w:val="nn-NO"/>
        </w:rPr>
        <w:lastRenderedPageBreak/>
        <w:t>LDO har i 2019 utvikla på</w:t>
      </w:r>
      <w:r w:rsidR="00DB45DC" w:rsidRPr="001D0BDE">
        <w:rPr>
          <w:lang w:val="nn-NO"/>
        </w:rPr>
        <w:t>driv</w:t>
      </w:r>
      <w:r w:rsidR="00E15A34" w:rsidRPr="001D0BDE">
        <w:rPr>
          <w:lang w:val="nn-NO"/>
        </w:rPr>
        <w:t>ararbeidet</w:t>
      </w:r>
      <w:r w:rsidR="00EB3474" w:rsidRPr="001D0BDE">
        <w:rPr>
          <w:lang w:val="nn-NO"/>
        </w:rPr>
        <w:t xml:space="preserve"> i nye ret</w:t>
      </w:r>
      <w:r w:rsidR="00E15A34" w:rsidRPr="001D0BDE">
        <w:rPr>
          <w:lang w:val="nn-NO"/>
        </w:rPr>
        <w:t>ninga</w:t>
      </w:r>
      <w:r w:rsidR="00EB3474" w:rsidRPr="001D0BDE">
        <w:rPr>
          <w:lang w:val="nn-NO"/>
        </w:rPr>
        <w:t xml:space="preserve">r. </w:t>
      </w:r>
      <w:r w:rsidR="00255232" w:rsidRPr="001D0BDE">
        <w:rPr>
          <w:lang w:val="nn-NO"/>
        </w:rPr>
        <w:t>Ombodet</w:t>
      </w:r>
      <w:r w:rsidR="004F0D79">
        <w:rPr>
          <w:lang w:val="nn-NO"/>
        </w:rPr>
        <w:t xml:space="preserve"> har bringa inn </w:t>
      </w:r>
      <w:r w:rsidR="00E15A34" w:rsidRPr="001D0BDE">
        <w:rPr>
          <w:lang w:val="nn-NO"/>
        </w:rPr>
        <w:t>to saker for D</w:t>
      </w:r>
      <w:r w:rsidR="00DB45DC" w:rsidRPr="001D0BDE">
        <w:rPr>
          <w:lang w:val="nn-NO"/>
        </w:rPr>
        <w:t>iskrimineringsnemnda. Ombodet har ogs</w:t>
      </w:r>
      <w:r w:rsidR="00412AD5" w:rsidRPr="001D0BDE">
        <w:rPr>
          <w:lang w:val="nn-NO"/>
        </w:rPr>
        <w:t>å fortsett med å oppsøke miljø</w:t>
      </w:r>
      <w:r w:rsidR="00DB45DC" w:rsidRPr="001D0BDE">
        <w:rPr>
          <w:lang w:val="nn-NO"/>
        </w:rPr>
        <w:t xml:space="preserve"> vi meiner</w:t>
      </w:r>
      <w:r w:rsidR="00412AD5" w:rsidRPr="001D0BDE">
        <w:rPr>
          <w:lang w:val="nn-NO"/>
        </w:rPr>
        <w:t xml:space="preserve"> blir utse</w:t>
      </w:r>
      <w:r w:rsidR="00DB45DC" w:rsidRPr="001D0BDE">
        <w:rPr>
          <w:lang w:val="nn-NO"/>
        </w:rPr>
        <w:t xml:space="preserve">tt for </w:t>
      </w:r>
      <w:r w:rsidR="00EB3474" w:rsidRPr="001D0BDE">
        <w:rPr>
          <w:lang w:val="nn-NO"/>
        </w:rPr>
        <w:t xml:space="preserve">diskriminering, men som i liten grad </w:t>
      </w:r>
      <w:r w:rsidR="00412AD5" w:rsidRPr="001D0BDE">
        <w:rPr>
          <w:lang w:val="nn-NO"/>
        </w:rPr>
        <w:t xml:space="preserve">sjølv </w:t>
      </w:r>
      <w:r w:rsidR="008C0D37" w:rsidRPr="001D0BDE">
        <w:rPr>
          <w:lang w:val="nn-NO"/>
        </w:rPr>
        <w:t>tek</w:t>
      </w:r>
      <w:r w:rsidR="00EB3474" w:rsidRPr="001D0BDE">
        <w:rPr>
          <w:lang w:val="nn-NO"/>
        </w:rPr>
        <w:t xml:space="preserve"> kontakt med </w:t>
      </w:r>
      <w:r w:rsidR="00255232" w:rsidRPr="001D0BDE">
        <w:rPr>
          <w:lang w:val="nn-NO"/>
        </w:rPr>
        <w:t>ombodet</w:t>
      </w:r>
      <w:r w:rsidR="00412AD5" w:rsidRPr="001D0BDE">
        <w:rPr>
          <w:lang w:val="nn-NO"/>
        </w:rPr>
        <w:t>. Erfaringa</w:t>
      </w:r>
      <w:r w:rsidR="00EB3474" w:rsidRPr="001D0BDE">
        <w:rPr>
          <w:lang w:val="nn-NO"/>
        </w:rPr>
        <w:t xml:space="preserve">ne </w:t>
      </w:r>
      <w:r w:rsidR="00AE6728" w:rsidRPr="001D0BDE">
        <w:rPr>
          <w:lang w:val="nn-NO"/>
        </w:rPr>
        <w:t>frå</w:t>
      </w:r>
      <w:r w:rsidR="00EB3474" w:rsidRPr="001D0BDE">
        <w:rPr>
          <w:lang w:val="nn-NO"/>
        </w:rPr>
        <w:t xml:space="preserve"> dette arbeidet har </w:t>
      </w:r>
      <w:r w:rsidR="00412AD5" w:rsidRPr="001D0BDE">
        <w:rPr>
          <w:lang w:val="nn-NO"/>
        </w:rPr>
        <w:t>vore</w:t>
      </w:r>
      <w:r w:rsidR="004E5574" w:rsidRPr="001D0BDE">
        <w:rPr>
          <w:lang w:val="nn-NO"/>
        </w:rPr>
        <w:t xml:space="preserve"> viktig for våre innspe</w:t>
      </w:r>
      <w:r w:rsidR="00EB3474" w:rsidRPr="001D0BDE">
        <w:rPr>
          <w:lang w:val="nn-NO"/>
        </w:rPr>
        <w:t>l til ulike</w:t>
      </w:r>
      <w:r w:rsidR="004F0D79">
        <w:rPr>
          <w:lang w:val="nn-NO"/>
        </w:rPr>
        <w:t xml:space="preserve"> handlingsplana</w:t>
      </w:r>
      <w:r w:rsidR="00412AD5" w:rsidRPr="001D0BDE">
        <w:rPr>
          <w:lang w:val="nn-NO"/>
        </w:rPr>
        <w:t>r som regjeringa</w:t>
      </w:r>
      <w:r w:rsidR="00EB3474" w:rsidRPr="001D0BDE">
        <w:rPr>
          <w:lang w:val="nn-NO"/>
        </w:rPr>
        <w:t xml:space="preserve"> har </w:t>
      </w:r>
      <w:r w:rsidR="00FE58D2" w:rsidRPr="001D0BDE">
        <w:rPr>
          <w:lang w:val="nn-NO"/>
        </w:rPr>
        <w:t>arbeidt</w:t>
      </w:r>
      <w:r w:rsidR="00EB3474" w:rsidRPr="001D0BDE">
        <w:rPr>
          <w:lang w:val="nn-NO"/>
        </w:rPr>
        <w:t xml:space="preserve"> med dette året. Gjennom ekspertmøter og </w:t>
      </w:r>
      <w:r w:rsidR="00255232" w:rsidRPr="001D0BDE">
        <w:rPr>
          <w:lang w:val="nn-NO"/>
        </w:rPr>
        <w:t>ombodet</w:t>
      </w:r>
      <w:r w:rsidR="00F61758">
        <w:rPr>
          <w:lang w:val="nn-NO"/>
        </w:rPr>
        <w:t xml:space="preserve"> sin</w:t>
      </w:r>
      <w:r w:rsidR="00EB3474" w:rsidRPr="001D0BDE">
        <w:rPr>
          <w:lang w:val="nn-NO"/>
        </w:rPr>
        <w:t xml:space="preserve"> års</w:t>
      </w:r>
      <w:r w:rsidR="00015F3E">
        <w:rPr>
          <w:lang w:val="nn-NO"/>
        </w:rPr>
        <w:t>konferanse, kombinerer vi rolla</w:t>
      </w:r>
      <w:r w:rsidR="00EB3474" w:rsidRPr="001D0BDE">
        <w:rPr>
          <w:lang w:val="nn-NO"/>
        </w:rPr>
        <w:t xml:space="preserve"> med å sette viktige temaer på dagsorden, </w:t>
      </w:r>
      <w:r w:rsidR="004E5574" w:rsidRPr="001D0BDE">
        <w:rPr>
          <w:lang w:val="nn-NO"/>
        </w:rPr>
        <w:t>samstundes</w:t>
      </w:r>
      <w:r w:rsidR="00EB3474" w:rsidRPr="001D0BDE">
        <w:rPr>
          <w:lang w:val="nn-NO"/>
        </w:rPr>
        <w:t xml:space="preserve"> som vi etablerer nettverk og styrk</w:t>
      </w:r>
      <w:r w:rsidR="00015F3E">
        <w:rPr>
          <w:lang w:val="nn-NO"/>
        </w:rPr>
        <w:t>j</w:t>
      </w:r>
      <w:r w:rsidR="00EB3474" w:rsidRPr="001D0BDE">
        <w:rPr>
          <w:lang w:val="nn-NO"/>
        </w:rPr>
        <w:t xml:space="preserve">er </w:t>
      </w:r>
      <w:r w:rsidR="00255232" w:rsidRPr="001D0BDE">
        <w:rPr>
          <w:lang w:val="nn-NO"/>
        </w:rPr>
        <w:t>ombodet</w:t>
      </w:r>
      <w:r w:rsidR="00015F3E">
        <w:rPr>
          <w:lang w:val="nn-NO"/>
        </w:rPr>
        <w:t xml:space="preserve"> sin</w:t>
      </w:r>
      <w:r w:rsidR="00EB3474" w:rsidRPr="001D0BDE">
        <w:rPr>
          <w:lang w:val="nn-NO"/>
        </w:rPr>
        <w:t xml:space="preserve"> kompet</w:t>
      </w:r>
      <w:r w:rsidR="0092615B" w:rsidRPr="001D0BDE">
        <w:rPr>
          <w:lang w:val="nn-NO"/>
        </w:rPr>
        <w:t>anse på desse områda</w:t>
      </w:r>
      <w:r w:rsidR="00EB3474" w:rsidRPr="001D0BDE">
        <w:rPr>
          <w:lang w:val="nn-NO"/>
        </w:rPr>
        <w:t xml:space="preserve">. </w:t>
      </w:r>
      <w:r w:rsidR="00EB3474" w:rsidRPr="001D0BDE">
        <w:rPr>
          <w:lang w:val="nn-NO"/>
        </w:rPr>
        <w:br/>
      </w:r>
      <w:r w:rsidR="00EB3474" w:rsidRPr="001D0BDE">
        <w:rPr>
          <w:lang w:val="nn-NO"/>
        </w:rPr>
        <w:br/>
        <w:t>Kunnskap og kompet</w:t>
      </w:r>
      <w:r w:rsidR="004E5574" w:rsidRPr="001D0BDE">
        <w:rPr>
          <w:lang w:val="nn-NO"/>
        </w:rPr>
        <w:t>anse er avgjerande</w:t>
      </w:r>
      <w:r w:rsidR="00EB3474" w:rsidRPr="001D0BDE">
        <w:rPr>
          <w:lang w:val="nn-NO"/>
        </w:rPr>
        <w:t xml:space="preserve"> for at </w:t>
      </w:r>
      <w:r w:rsidR="00255232" w:rsidRPr="001D0BDE">
        <w:rPr>
          <w:lang w:val="nn-NO"/>
        </w:rPr>
        <w:t>ombodet</w:t>
      </w:r>
      <w:r w:rsidR="00EB3474" w:rsidRPr="001D0BDE">
        <w:rPr>
          <w:lang w:val="nn-NO"/>
        </w:rPr>
        <w:t xml:space="preserve"> skal fylle sitt tilsynsmandat et</w:t>
      </w:r>
      <w:r w:rsidR="004E5574" w:rsidRPr="001D0BDE">
        <w:rPr>
          <w:lang w:val="nn-NO"/>
        </w:rPr>
        <w:t>ter lova</w:t>
      </w:r>
      <w:r w:rsidR="00EB3474" w:rsidRPr="001D0BDE">
        <w:rPr>
          <w:lang w:val="nn-NO"/>
        </w:rPr>
        <w:t xml:space="preserve"> på e</w:t>
      </w:r>
      <w:r w:rsidR="004E5574" w:rsidRPr="001D0BDE">
        <w:rPr>
          <w:lang w:val="nn-NO"/>
        </w:rPr>
        <w:t>i</w:t>
      </w:r>
      <w:r w:rsidR="00EB3474" w:rsidRPr="001D0BDE">
        <w:rPr>
          <w:lang w:val="nn-NO"/>
        </w:rPr>
        <w:t xml:space="preserve">n god måte. I 2019 har </w:t>
      </w:r>
      <w:r w:rsidR="00255232" w:rsidRPr="001D0BDE">
        <w:rPr>
          <w:lang w:val="nn-NO"/>
        </w:rPr>
        <w:t>ombodet</w:t>
      </w:r>
      <w:r w:rsidR="001D091C" w:rsidRPr="001D0BDE">
        <w:rPr>
          <w:lang w:val="nn-NO"/>
        </w:rPr>
        <w:t xml:space="preserve"> vore</w:t>
      </w:r>
      <w:r w:rsidR="00EB3474" w:rsidRPr="001D0BDE">
        <w:rPr>
          <w:lang w:val="nn-NO"/>
        </w:rPr>
        <w:t xml:space="preserve"> engasjert</w:t>
      </w:r>
      <w:r w:rsidR="001D091C" w:rsidRPr="001D0BDE">
        <w:rPr>
          <w:lang w:val="nn-NO"/>
        </w:rPr>
        <w:t xml:space="preserve"> i C</w:t>
      </w:r>
      <w:r w:rsidR="00693F4C">
        <w:rPr>
          <w:lang w:val="nn-NO"/>
        </w:rPr>
        <w:t>RPD-komiteen si</w:t>
      </w:r>
      <w:r w:rsidR="00EB3474" w:rsidRPr="001D0BDE">
        <w:rPr>
          <w:lang w:val="nn-NO"/>
        </w:rPr>
        <w:t xml:space="preserve"> hø</w:t>
      </w:r>
      <w:r w:rsidR="001D091C" w:rsidRPr="001D0BDE">
        <w:rPr>
          <w:lang w:val="nn-NO"/>
        </w:rPr>
        <w:t>yring av Noreg</w:t>
      </w:r>
      <w:r w:rsidR="00EB3474" w:rsidRPr="001D0BDE">
        <w:rPr>
          <w:lang w:val="nn-NO"/>
        </w:rPr>
        <w:t xml:space="preserve">. Vi har </w:t>
      </w:r>
      <w:r w:rsidR="009C28DC" w:rsidRPr="001D0BDE">
        <w:rPr>
          <w:lang w:val="nn-NO"/>
        </w:rPr>
        <w:t>særleg</w:t>
      </w:r>
      <w:r w:rsidR="00EB3474" w:rsidRPr="001D0BDE">
        <w:rPr>
          <w:lang w:val="nn-NO"/>
        </w:rPr>
        <w:t xml:space="preserve"> </w:t>
      </w:r>
      <w:r w:rsidR="009C28DC" w:rsidRPr="001D0BDE">
        <w:rPr>
          <w:lang w:val="nn-NO"/>
        </w:rPr>
        <w:t xml:space="preserve">vore opptatt av områda </w:t>
      </w:r>
      <w:r w:rsidR="00693F4C">
        <w:rPr>
          <w:lang w:val="nn-NO"/>
        </w:rPr>
        <w:t>verj</w:t>
      </w:r>
      <w:r w:rsidR="00EB3474" w:rsidRPr="001D0BDE">
        <w:rPr>
          <w:lang w:val="nn-NO"/>
        </w:rPr>
        <w:t xml:space="preserve">emål, tvang og universell utforming, områder </w:t>
      </w:r>
      <w:r w:rsidR="009C28DC" w:rsidRPr="001D0BDE">
        <w:rPr>
          <w:lang w:val="nn-NO"/>
        </w:rPr>
        <w:t>kor</w:t>
      </w:r>
      <w:r w:rsidR="00EB3474" w:rsidRPr="001D0BDE">
        <w:rPr>
          <w:lang w:val="nn-NO"/>
        </w:rPr>
        <w:t xml:space="preserve"> komiteen i sin rapport </w:t>
      </w:r>
      <w:r w:rsidR="005C4E7E" w:rsidRPr="001D0BDE">
        <w:rPr>
          <w:lang w:val="nn-NO"/>
        </w:rPr>
        <w:t xml:space="preserve">har </w:t>
      </w:r>
      <w:r w:rsidR="009C28DC" w:rsidRPr="001D0BDE">
        <w:rPr>
          <w:lang w:val="nn-NO"/>
        </w:rPr>
        <w:t>vore</w:t>
      </w:r>
      <w:r w:rsidR="00EB3474" w:rsidRPr="001D0BDE">
        <w:rPr>
          <w:lang w:val="nn-NO"/>
        </w:rPr>
        <w:t xml:space="preserve"> kritisk til </w:t>
      </w:r>
      <w:r w:rsidR="005C4E7E" w:rsidRPr="001D0BDE">
        <w:rPr>
          <w:lang w:val="nn-NO"/>
        </w:rPr>
        <w:t>Noreg. Desse temaa</w:t>
      </w:r>
      <w:r w:rsidR="008B24C4" w:rsidRPr="001D0BDE">
        <w:rPr>
          <w:lang w:val="nn-NO"/>
        </w:rPr>
        <w:t xml:space="preserve"> vil stå høg</w:t>
      </w:r>
      <w:r w:rsidR="00EB3474" w:rsidRPr="001D0BDE">
        <w:rPr>
          <w:lang w:val="nn-NO"/>
        </w:rPr>
        <w:t xml:space="preserve">t på </w:t>
      </w:r>
      <w:r w:rsidR="00255232" w:rsidRPr="001D0BDE">
        <w:rPr>
          <w:lang w:val="nn-NO"/>
        </w:rPr>
        <w:t>ombodet</w:t>
      </w:r>
      <w:r w:rsidR="00693F4C">
        <w:rPr>
          <w:lang w:val="nn-NO"/>
        </w:rPr>
        <w:t xml:space="preserve"> sin</w:t>
      </w:r>
      <w:r w:rsidR="00EB3474" w:rsidRPr="001D0BDE">
        <w:rPr>
          <w:lang w:val="nn-NO"/>
        </w:rPr>
        <w:t xml:space="preserve"> agenda også i 2020. </w:t>
      </w:r>
      <w:r w:rsidR="00255232" w:rsidRPr="001D0BDE">
        <w:rPr>
          <w:lang w:val="nn-NO"/>
        </w:rPr>
        <w:t>Ombodet</w:t>
      </w:r>
      <w:r w:rsidR="002575DC" w:rsidRPr="001D0BDE">
        <w:rPr>
          <w:lang w:val="nn-NO"/>
        </w:rPr>
        <w:t xml:space="preserve"> laga</w:t>
      </w:r>
      <w:r w:rsidR="00EB3474" w:rsidRPr="001D0BDE">
        <w:rPr>
          <w:lang w:val="nn-NO"/>
        </w:rPr>
        <w:t xml:space="preserve"> i 2019 e</w:t>
      </w:r>
      <w:r w:rsidR="002575DC" w:rsidRPr="001D0BDE">
        <w:rPr>
          <w:lang w:val="nn-NO"/>
        </w:rPr>
        <w:t>i</w:t>
      </w:r>
      <w:r w:rsidR="00EB3474" w:rsidRPr="001D0BDE">
        <w:rPr>
          <w:lang w:val="nn-NO"/>
        </w:rPr>
        <w:t xml:space="preserve">n rapport om </w:t>
      </w:r>
      <w:r w:rsidR="002575DC" w:rsidRPr="001D0BDE">
        <w:rPr>
          <w:lang w:val="nn-NO"/>
        </w:rPr>
        <w:t>rettstryggleiken</w:t>
      </w:r>
      <w:r w:rsidR="00A315FF" w:rsidRPr="001D0BDE">
        <w:rPr>
          <w:lang w:val="nn-NO"/>
        </w:rPr>
        <w:t xml:space="preserve"> for psykisk utviklingshemma</w:t>
      </w:r>
      <w:r w:rsidR="00EB3474" w:rsidRPr="001D0BDE">
        <w:rPr>
          <w:lang w:val="nn-NO"/>
        </w:rPr>
        <w:t xml:space="preserve"> som </w:t>
      </w:r>
      <w:r w:rsidR="00A315FF" w:rsidRPr="001D0BDE">
        <w:rPr>
          <w:lang w:val="nn-NO"/>
        </w:rPr>
        <w:t>blir utsette</w:t>
      </w:r>
      <w:r w:rsidR="00EB3474" w:rsidRPr="001D0BDE">
        <w:rPr>
          <w:lang w:val="nn-NO"/>
        </w:rPr>
        <w:t xml:space="preserve"> for tvang. Vi </w:t>
      </w:r>
      <w:r w:rsidR="004425FC" w:rsidRPr="001D0BDE">
        <w:rPr>
          <w:lang w:val="nn-NO"/>
        </w:rPr>
        <w:t>gjekk gjennom eit</w:t>
      </w:r>
      <w:r w:rsidR="00EB3474" w:rsidRPr="001D0BDE">
        <w:rPr>
          <w:lang w:val="nn-NO"/>
        </w:rPr>
        <w:t xml:space="preserve"> stort antall enkeltsaker på dette området hos e</w:t>
      </w:r>
      <w:r w:rsidR="004425FC" w:rsidRPr="001D0BDE">
        <w:rPr>
          <w:lang w:val="nn-NO"/>
        </w:rPr>
        <w:t>i</w:t>
      </w:r>
      <w:r w:rsidR="00EB3474" w:rsidRPr="001D0BDE">
        <w:rPr>
          <w:lang w:val="nn-NO"/>
        </w:rPr>
        <w:t>t av landets fylkesmannsembet</w:t>
      </w:r>
      <w:r w:rsidR="00FC37D9" w:rsidRPr="001D0BDE">
        <w:rPr>
          <w:lang w:val="nn-NO"/>
        </w:rPr>
        <w:t>er, som er kontrollinstansen i slike saker</w:t>
      </w:r>
      <w:r w:rsidR="006868CE" w:rsidRPr="001D0BDE">
        <w:rPr>
          <w:lang w:val="nn-NO"/>
        </w:rPr>
        <w:t>. Undersøkinga avdekka</w:t>
      </w:r>
      <w:r w:rsidR="00EB3474" w:rsidRPr="001D0BDE">
        <w:rPr>
          <w:lang w:val="nn-NO"/>
        </w:rPr>
        <w:t xml:space="preserve"> etter vårt syn alvorl</w:t>
      </w:r>
      <w:r w:rsidR="006868CE" w:rsidRPr="001D0BDE">
        <w:rPr>
          <w:lang w:val="nn-NO"/>
        </w:rPr>
        <w:t>e</w:t>
      </w:r>
      <w:r w:rsidR="00EB3474" w:rsidRPr="001D0BDE">
        <w:rPr>
          <w:lang w:val="nn-NO"/>
        </w:rPr>
        <w:t>g svikt på mange områd</w:t>
      </w:r>
      <w:r w:rsidR="006868CE" w:rsidRPr="001D0BDE">
        <w:rPr>
          <w:lang w:val="nn-NO"/>
        </w:rPr>
        <w:t>er som skal sikre denne gruppa si</w:t>
      </w:r>
      <w:r w:rsidR="00061FDC">
        <w:rPr>
          <w:lang w:val="nn-NO"/>
        </w:rPr>
        <w:t>n</w:t>
      </w:r>
      <w:r w:rsidR="00EB3474" w:rsidRPr="001D0BDE">
        <w:rPr>
          <w:lang w:val="nn-NO"/>
        </w:rPr>
        <w:t xml:space="preserve"> ret</w:t>
      </w:r>
      <w:r w:rsidR="006868CE" w:rsidRPr="001D0BDE">
        <w:rPr>
          <w:lang w:val="nn-NO"/>
        </w:rPr>
        <w:t>tstryggleik</w:t>
      </w:r>
      <w:r w:rsidR="00EB3474" w:rsidRPr="001D0BDE">
        <w:rPr>
          <w:lang w:val="nn-NO"/>
        </w:rPr>
        <w:t>. Arbeidet</w:t>
      </w:r>
      <w:r w:rsidR="002D6CEB" w:rsidRPr="001D0BDE">
        <w:rPr>
          <w:lang w:val="nn-NO"/>
        </w:rPr>
        <w:t xml:space="preserve"> mot relevante styresmakter</w:t>
      </w:r>
      <w:r w:rsidR="00EB3474" w:rsidRPr="001D0BDE">
        <w:rPr>
          <w:lang w:val="nn-NO"/>
        </w:rPr>
        <w:t xml:space="preserve"> omkring dette har </w:t>
      </w:r>
      <w:r w:rsidR="009C28DC" w:rsidRPr="001D0BDE">
        <w:rPr>
          <w:lang w:val="nn-NO"/>
        </w:rPr>
        <w:t>vore</w:t>
      </w:r>
      <w:r w:rsidR="00DB2706" w:rsidRPr="001D0BDE">
        <w:rPr>
          <w:lang w:val="nn-NO"/>
        </w:rPr>
        <w:t xml:space="preserve"> konstruktivt og vil </w:t>
      </w:r>
      <w:r w:rsidR="00182E53">
        <w:rPr>
          <w:lang w:val="nn-NO"/>
        </w:rPr>
        <w:t>bli fulgt</w:t>
      </w:r>
      <w:r w:rsidR="00EB3474" w:rsidRPr="001D0BDE">
        <w:rPr>
          <w:lang w:val="nn-NO"/>
        </w:rPr>
        <w:t xml:space="preserve"> opp i 2020. </w:t>
      </w:r>
      <w:r w:rsidR="00EB3474" w:rsidRPr="001D0BDE">
        <w:rPr>
          <w:lang w:val="nn-NO"/>
        </w:rPr>
        <w:br/>
      </w:r>
      <w:r w:rsidR="00EB3474" w:rsidRPr="001D0BDE">
        <w:rPr>
          <w:lang w:val="nn-NO"/>
        </w:rPr>
        <w:br/>
        <w:t>Nytt av året</w:t>
      </w:r>
      <w:r w:rsidR="00FC37D9" w:rsidRPr="001D0BDE">
        <w:rPr>
          <w:lang w:val="nn-NO"/>
        </w:rPr>
        <w:t xml:space="preserve"> er at LDO har utarbeida ei</w:t>
      </w:r>
      <w:r w:rsidR="00EB3474" w:rsidRPr="001D0BDE">
        <w:rPr>
          <w:lang w:val="nn-NO"/>
        </w:rPr>
        <w:t xml:space="preserve"> oppsummering av ret</w:t>
      </w:r>
      <w:r w:rsidR="00FC37D9" w:rsidRPr="001D0BDE">
        <w:rPr>
          <w:lang w:val="nn-NO"/>
        </w:rPr>
        <w:t>tsutviklinga</w:t>
      </w:r>
      <w:r w:rsidR="00EB3474" w:rsidRPr="001D0BDE">
        <w:rPr>
          <w:lang w:val="nn-NO"/>
        </w:rPr>
        <w:t xml:space="preserve"> </w:t>
      </w:r>
      <w:r w:rsidR="00A6060D" w:rsidRPr="001D0BDE">
        <w:rPr>
          <w:lang w:val="nn-NO"/>
        </w:rPr>
        <w:t>innanfor</w:t>
      </w:r>
      <w:r w:rsidR="00EB3474" w:rsidRPr="001D0BDE">
        <w:rPr>
          <w:lang w:val="nn-NO"/>
        </w:rPr>
        <w:t xml:space="preserve"> vårt mandat i 2019. Det</w:t>
      </w:r>
      <w:r w:rsidR="00505F2C" w:rsidRPr="001D0BDE">
        <w:rPr>
          <w:lang w:val="nn-NO"/>
        </w:rPr>
        <w:t>te omfatta</w:t>
      </w:r>
      <w:r w:rsidR="00EB3474" w:rsidRPr="001D0BDE">
        <w:rPr>
          <w:lang w:val="nn-NO"/>
        </w:rPr>
        <w:t xml:space="preserve">r praksis </w:t>
      </w:r>
      <w:r w:rsidR="00AE6728" w:rsidRPr="001D0BDE">
        <w:rPr>
          <w:lang w:val="nn-NO"/>
        </w:rPr>
        <w:t>frå</w:t>
      </w:r>
      <w:r w:rsidR="00505F2C" w:rsidRPr="001D0BDE">
        <w:rPr>
          <w:lang w:val="nn-NO"/>
        </w:rPr>
        <w:t xml:space="preserve"> D</w:t>
      </w:r>
      <w:r w:rsidR="00EB3474" w:rsidRPr="001D0BDE">
        <w:rPr>
          <w:lang w:val="nn-NO"/>
        </w:rPr>
        <w:t>iskri</w:t>
      </w:r>
      <w:r w:rsidR="00505F2C" w:rsidRPr="001D0BDE">
        <w:rPr>
          <w:lang w:val="nn-NO"/>
        </w:rPr>
        <w:t>mineringsnemnda, norske domstolar og uta</w:t>
      </w:r>
      <w:r w:rsidR="00EB3474" w:rsidRPr="001D0BDE">
        <w:rPr>
          <w:lang w:val="nn-NO"/>
        </w:rPr>
        <w:t>nlandske ret</w:t>
      </w:r>
      <w:r w:rsidR="00505F2C" w:rsidRPr="001D0BDE">
        <w:rPr>
          <w:lang w:val="nn-NO"/>
        </w:rPr>
        <w:t>tsinstansa</w:t>
      </w:r>
      <w:r w:rsidR="00EB3474" w:rsidRPr="001D0BDE">
        <w:rPr>
          <w:lang w:val="nn-NO"/>
        </w:rPr>
        <w:t>r. Vi ønsk</w:t>
      </w:r>
      <w:r w:rsidR="00CA7580" w:rsidRPr="001D0BDE">
        <w:rPr>
          <w:lang w:val="nn-NO"/>
        </w:rPr>
        <w:t>j</w:t>
      </w:r>
      <w:r w:rsidR="00EB3474" w:rsidRPr="001D0BDE">
        <w:rPr>
          <w:lang w:val="nn-NO"/>
        </w:rPr>
        <w:t xml:space="preserve">er med dette å bidra til å </w:t>
      </w:r>
      <w:r w:rsidR="00CA7580" w:rsidRPr="001D0BDE">
        <w:rPr>
          <w:lang w:val="nn-NO"/>
        </w:rPr>
        <w:t>auke</w:t>
      </w:r>
      <w:r w:rsidR="00EB3474" w:rsidRPr="001D0BDE">
        <w:rPr>
          <w:lang w:val="nn-NO"/>
        </w:rPr>
        <w:t xml:space="preserve"> kunnskapsnivået på dette området</w:t>
      </w:r>
      <w:r w:rsidR="00CA7580" w:rsidRPr="001D0BDE">
        <w:rPr>
          <w:lang w:val="nn-NO"/>
        </w:rPr>
        <w:t xml:space="preserve"> hos alle relevante aktøra</w:t>
      </w:r>
      <w:r w:rsidR="00EB3474" w:rsidRPr="001D0BDE">
        <w:rPr>
          <w:lang w:val="nn-NO"/>
        </w:rPr>
        <w:t>r, i tillegg til at det</w:t>
      </w:r>
      <w:r w:rsidR="00CA7580" w:rsidRPr="001D0BDE">
        <w:rPr>
          <w:lang w:val="nn-NO"/>
        </w:rPr>
        <w:t xml:space="preserve"> har vore</w:t>
      </w:r>
      <w:r w:rsidR="00EB3474" w:rsidRPr="001D0BDE">
        <w:rPr>
          <w:lang w:val="nn-NO"/>
        </w:rPr>
        <w:t xml:space="preserve"> nyt</w:t>
      </w:r>
      <w:r w:rsidR="00981865">
        <w:rPr>
          <w:lang w:val="nn-NO"/>
        </w:rPr>
        <w:t xml:space="preserve">tig for LDO sitt </w:t>
      </w:r>
      <w:r w:rsidR="00CA7580" w:rsidRPr="001D0BDE">
        <w:rPr>
          <w:lang w:val="nn-NO"/>
        </w:rPr>
        <w:t xml:space="preserve">eige </w:t>
      </w:r>
      <w:r w:rsidR="003C284A" w:rsidRPr="001D0BDE">
        <w:rPr>
          <w:lang w:val="nn-NO"/>
        </w:rPr>
        <w:t xml:space="preserve">arbeid. </w:t>
      </w:r>
      <w:bookmarkStart w:id="1" w:name="_GoBack"/>
      <w:bookmarkEnd w:id="1"/>
      <w:r w:rsidR="00EB3474" w:rsidRPr="001D0BDE">
        <w:rPr>
          <w:lang w:val="nn-NO"/>
        </w:rPr>
        <w:br/>
      </w:r>
      <w:r w:rsidR="00EB3474" w:rsidRPr="001D0BDE">
        <w:rPr>
          <w:lang w:val="nn-NO"/>
        </w:rPr>
        <w:br/>
      </w:r>
      <w:r w:rsidRPr="001D0BDE">
        <w:rPr>
          <w:lang w:val="nn-NO"/>
        </w:rPr>
        <w:t>O</w:t>
      </w:r>
      <w:r w:rsidR="00255232" w:rsidRPr="001D0BDE">
        <w:rPr>
          <w:lang w:val="nn-NO"/>
        </w:rPr>
        <w:t>mbodet</w:t>
      </w:r>
      <w:r w:rsidR="00335BE6" w:rsidRPr="001D0BDE">
        <w:rPr>
          <w:lang w:val="nn-NO"/>
        </w:rPr>
        <w:t xml:space="preserve"> er i sitt arbeid</w:t>
      </w:r>
      <w:r w:rsidR="00EB3474" w:rsidRPr="001D0BDE">
        <w:rPr>
          <w:lang w:val="nn-NO"/>
        </w:rPr>
        <w:t xml:space="preserve"> he</w:t>
      </w:r>
      <w:r w:rsidR="00335BE6" w:rsidRPr="001D0BDE">
        <w:rPr>
          <w:lang w:val="nn-NO"/>
        </w:rPr>
        <w:t>i</w:t>
      </w:r>
      <w:r w:rsidR="00EB3474" w:rsidRPr="001D0BDE">
        <w:rPr>
          <w:lang w:val="nn-NO"/>
        </w:rPr>
        <w:t>lt avhengig av</w:t>
      </w:r>
      <w:r w:rsidR="00335BE6" w:rsidRPr="001D0BDE">
        <w:rPr>
          <w:lang w:val="nn-NO"/>
        </w:rPr>
        <w:t xml:space="preserve"> informasjon og kunnskap om kor «skoa</w:t>
      </w:r>
      <w:r w:rsidR="00EB3474" w:rsidRPr="001D0BDE">
        <w:rPr>
          <w:lang w:val="nn-NO"/>
        </w:rPr>
        <w:t xml:space="preserve"> trykker» i det norske samfunnet</w:t>
      </w:r>
      <w:r w:rsidR="0059481A" w:rsidRPr="001D0BDE">
        <w:rPr>
          <w:lang w:val="nn-NO"/>
        </w:rPr>
        <w:t>. Eg</w:t>
      </w:r>
      <w:r w:rsidR="00EB3474" w:rsidRPr="001D0BDE">
        <w:rPr>
          <w:lang w:val="nn-NO"/>
        </w:rPr>
        <w:t xml:space="preserve"> vil takke </w:t>
      </w:r>
      <w:r w:rsidR="00255232" w:rsidRPr="001D0BDE">
        <w:rPr>
          <w:lang w:val="nn-NO"/>
        </w:rPr>
        <w:t>ombodet</w:t>
      </w:r>
      <w:r w:rsidR="0080325A">
        <w:rPr>
          <w:lang w:val="nn-NO"/>
        </w:rPr>
        <w:t xml:space="preserve"> sitt</w:t>
      </w:r>
      <w:r w:rsidRPr="001D0BDE">
        <w:rPr>
          <w:lang w:val="nn-NO"/>
        </w:rPr>
        <w:t xml:space="preserve"> b</w:t>
      </w:r>
      <w:r w:rsidR="007A4353" w:rsidRPr="001D0BDE">
        <w:rPr>
          <w:lang w:val="nn-NO"/>
        </w:rPr>
        <w:t>ruka</w:t>
      </w:r>
      <w:r w:rsidR="00EB3474" w:rsidRPr="001D0BDE">
        <w:rPr>
          <w:lang w:val="nn-NO"/>
        </w:rPr>
        <w:t xml:space="preserve">rutval og resten av sivilsamfunnet for godt samarbeid. Det er </w:t>
      </w:r>
      <w:r w:rsidR="002C6C7D" w:rsidRPr="001D0BDE">
        <w:rPr>
          <w:lang w:val="nn-NO"/>
        </w:rPr>
        <w:t>avgjerande</w:t>
      </w:r>
      <w:r w:rsidR="00EB3474" w:rsidRPr="001D0BDE">
        <w:rPr>
          <w:lang w:val="nn-NO"/>
        </w:rPr>
        <w:t xml:space="preserve"> at </w:t>
      </w:r>
      <w:r w:rsidR="00C36A9D" w:rsidRPr="001D0BDE">
        <w:rPr>
          <w:lang w:val="nn-NO"/>
        </w:rPr>
        <w:t>Dykk</w:t>
      </w:r>
      <w:r w:rsidR="002C6C7D" w:rsidRPr="001D0BDE">
        <w:rPr>
          <w:lang w:val="nn-NO"/>
        </w:rPr>
        <w:t xml:space="preserve"> fortel</w:t>
      </w:r>
      <w:r w:rsidR="00EB3474" w:rsidRPr="001D0BDE">
        <w:rPr>
          <w:lang w:val="nn-NO"/>
        </w:rPr>
        <w:t xml:space="preserve"> oss om de</w:t>
      </w:r>
      <w:r w:rsidR="00C36A9D" w:rsidRPr="001D0BDE">
        <w:rPr>
          <w:lang w:val="nn-NO"/>
        </w:rPr>
        <w:t>i</w:t>
      </w:r>
      <w:r w:rsidR="00E81143">
        <w:rPr>
          <w:lang w:val="nn-NO"/>
        </w:rPr>
        <w:t xml:space="preserve"> vonde historiene og sku</w:t>
      </w:r>
      <w:r w:rsidR="00EB3474" w:rsidRPr="001D0BDE">
        <w:rPr>
          <w:lang w:val="nn-NO"/>
        </w:rPr>
        <w:t xml:space="preserve">ggesidene av det norske samfunnet. </w:t>
      </w:r>
      <w:r w:rsidR="00255232" w:rsidRPr="001D0BDE">
        <w:rPr>
          <w:lang w:val="nn-NO"/>
        </w:rPr>
        <w:t>Ombodet</w:t>
      </w:r>
      <w:r w:rsidR="00EB3474" w:rsidRPr="001D0BDE">
        <w:rPr>
          <w:lang w:val="nn-NO"/>
        </w:rPr>
        <w:t xml:space="preserve"> har gjenno</w:t>
      </w:r>
      <w:r w:rsidR="001537E4">
        <w:rPr>
          <w:lang w:val="nn-NO"/>
        </w:rPr>
        <w:t>m sitt arbeid i 2019 samarbeidt</w:t>
      </w:r>
      <w:r w:rsidR="00C36A9D" w:rsidRPr="001D0BDE">
        <w:rPr>
          <w:lang w:val="nn-NO"/>
        </w:rPr>
        <w:t xml:space="preserve"> med mange ulike aktøra</w:t>
      </w:r>
      <w:r w:rsidR="00FE6140" w:rsidRPr="001D0BDE">
        <w:rPr>
          <w:lang w:val="nn-NO"/>
        </w:rPr>
        <w:t xml:space="preserve">r. </w:t>
      </w:r>
      <w:r w:rsidR="00FE6140">
        <w:t>Ingen</w:t>
      </w:r>
      <w:r w:rsidR="00EB3474">
        <w:t xml:space="preserve"> nevnt, ingen glemt og e</w:t>
      </w:r>
      <w:r w:rsidR="00C36A9D">
        <w:t>in stor takk til Dykk</w:t>
      </w:r>
      <w:r w:rsidR="00EB3474">
        <w:t xml:space="preserve"> alle.</w:t>
      </w:r>
    </w:p>
    <w:p w:rsidR="00650938" w:rsidRPr="00EB3474" w:rsidRDefault="00650938" w:rsidP="00650938"/>
    <w:p w:rsidR="00650938" w:rsidRPr="00EB3474" w:rsidRDefault="00650938" w:rsidP="00650938"/>
    <w:p w:rsidR="00650938" w:rsidRPr="00EB3474" w:rsidRDefault="00650938" w:rsidP="00650938"/>
    <w:p w:rsidR="00650938" w:rsidRPr="00EB3474" w:rsidRDefault="00650938" w:rsidP="00650938"/>
    <w:p w:rsidR="00650938" w:rsidRPr="00F55C1F" w:rsidRDefault="00650938" w:rsidP="00650938">
      <w:pPr>
        <w:rPr>
          <w:lang w:val="nn-NO"/>
        </w:rPr>
      </w:pPr>
      <w:r w:rsidRPr="00A3706F">
        <w:rPr>
          <w:noProof/>
        </w:rPr>
        <w:drawing>
          <wp:inline distT="0" distB="0" distL="0" distR="0" wp14:anchorId="373BE654" wp14:editId="10000241">
            <wp:extent cx="1123950" cy="703399"/>
            <wp:effectExtent l="0" t="0" r="0" b="1905"/>
            <wp:docPr id="2" name="Bilde 2" descr="C:\Users\raer\AppData\Local\Microsoft\Windows\Temporary Internet Files\Content.Outlook\E79EB9Z9\Hanne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r\AppData\Local\Microsoft\Windows\Temporary Internet Files\Content.Outlook\E79EB9Z9\Hanne 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426" cy="732485"/>
                    </a:xfrm>
                    <a:prstGeom prst="rect">
                      <a:avLst/>
                    </a:prstGeom>
                    <a:noFill/>
                    <a:ln>
                      <a:noFill/>
                    </a:ln>
                  </pic:spPr>
                </pic:pic>
              </a:graphicData>
            </a:graphic>
          </wp:inline>
        </w:drawing>
      </w:r>
    </w:p>
    <w:p w:rsidR="00650938" w:rsidRPr="006202FB" w:rsidRDefault="00650938" w:rsidP="00650938">
      <w:pPr>
        <w:rPr>
          <w:lang w:val="nn-NO"/>
        </w:rPr>
      </w:pPr>
      <w:r w:rsidRPr="006202FB">
        <w:rPr>
          <w:lang w:val="nn-NO"/>
        </w:rPr>
        <w:t>Hanne Inger Bjurstrøm</w:t>
      </w:r>
    </w:p>
    <w:p w:rsidR="00650938" w:rsidRDefault="00650938" w:rsidP="00650938">
      <w:pPr>
        <w:rPr>
          <w:lang w:val="nn-NO"/>
        </w:rPr>
      </w:pPr>
      <w:r>
        <w:rPr>
          <w:lang w:val="nn-NO"/>
        </w:rPr>
        <w:t>l</w:t>
      </w:r>
      <w:r w:rsidRPr="006202FB">
        <w:rPr>
          <w:lang w:val="nn-NO"/>
        </w:rPr>
        <w:t>ikestillings- og diskrimineringsombod</w:t>
      </w:r>
    </w:p>
    <w:p w:rsidR="00650938" w:rsidRDefault="00650938" w:rsidP="00650938">
      <w:pPr>
        <w:rPr>
          <w:lang w:val="nn-NO"/>
        </w:rPr>
      </w:pPr>
    </w:p>
    <w:p w:rsidR="00650938" w:rsidRDefault="00650938" w:rsidP="00650938">
      <w:pPr>
        <w:rPr>
          <w:lang w:val="nn-NO"/>
        </w:rPr>
      </w:pPr>
    </w:p>
    <w:p w:rsidR="00650938" w:rsidRDefault="00650938" w:rsidP="00650938">
      <w:pPr>
        <w:rPr>
          <w:lang w:val="nn-NO"/>
        </w:rPr>
      </w:pPr>
    </w:p>
    <w:p w:rsidR="00650938" w:rsidRDefault="00650938" w:rsidP="00650938">
      <w:pPr>
        <w:rPr>
          <w:lang w:val="nn-NO"/>
        </w:rPr>
      </w:pPr>
    </w:p>
    <w:p w:rsidR="00650938" w:rsidRDefault="00650938" w:rsidP="00650938">
      <w:pPr>
        <w:rPr>
          <w:lang w:val="nn-NO"/>
        </w:rPr>
      </w:pPr>
    </w:p>
    <w:p w:rsidR="00650938" w:rsidRPr="006202FB" w:rsidRDefault="00650938" w:rsidP="00650938">
      <w:pPr>
        <w:pStyle w:val="Overskrift1"/>
      </w:pPr>
      <w:bookmarkStart w:id="2" w:name="_Toc34915951"/>
      <w:r w:rsidRPr="006202FB">
        <w:lastRenderedPageBreak/>
        <w:t>Introduksjon til verksemd</w:t>
      </w:r>
      <w:r w:rsidR="00F44AA1">
        <w:t>a</w:t>
      </w:r>
      <w:r>
        <w:t xml:space="preserve"> og hovudtal</w:t>
      </w:r>
      <w:bookmarkEnd w:id="2"/>
    </w:p>
    <w:p w:rsidR="00650938" w:rsidRPr="006202FB" w:rsidRDefault="00650938" w:rsidP="00650938">
      <w:pPr>
        <w:rPr>
          <w:lang w:val="nn-NO"/>
        </w:rPr>
      </w:pPr>
      <w:r>
        <w:rPr>
          <w:lang w:val="nn-NO"/>
        </w:rPr>
        <w:t>Ombodet</w:t>
      </w:r>
      <w:r w:rsidRPr="006202FB">
        <w:rPr>
          <w:lang w:val="nn-NO"/>
        </w:rPr>
        <w:t xml:space="preserve"> er etablert av Stortinget og arbeidet er regulert i diskrimineringsombodslova.</w:t>
      </w:r>
      <w:r w:rsidR="008B0352">
        <w:rPr>
          <w:lang w:val="nn-NO"/>
        </w:rPr>
        <w:t xml:space="preserve"> Ombodet </w:t>
      </w:r>
      <w:r w:rsidRPr="006202FB">
        <w:rPr>
          <w:lang w:val="nn-NO"/>
        </w:rPr>
        <w:t>gir rettleiing, er ein p</w:t>
      </w:r>
      <w:r>
        <w:rPr>
          <w:lang w:val="nn-NO"/>
        </w:rPr>
        <w:t>ådrivar for likestilling og føre</w:t>
      </w:r>
      <w:r w:rsidRPr="006202FB">
        <w:rPr>
          <w:lang w:val="nn-NO"/>
        </w:rPr>
        <w:t xml:space="preserve">r tilsyn med bestemte FN-konvensjonar. </w:t>
      </w:r>
    </w:p>
    <w:p w:rsidR="00650938" w:rsidRDefault="00650938" w:rsidP="00650938">
      <w:pPr>
        <w:rPr>
          <w:lang w:val="nn-NO"/>
        </w:rPr>
      </w:pPr>
      <w:r w:rsidRPr="006202FB">
        <w:rPr>
          <w:lang w:val="nn-NO"/>
        </w:rPr>
        <w:t xml:space="preserve">For å oppfylle mandatet vårt skal vi hjelpe og endre. Vi skal </w:t>
      </w:r>
      <w:r>
        <w:rPr>
          <w:lang w:val="nn-NO"/>
        </w:rPr>
        <w:t>fremj</w:t>
      </w:r>
      <w:r w:rsidRPr="006202FB">
        <w:rPr>
          <w:lang w:val="nn-NO"/>
        </w:rPr>
        <w:t xml:space="preserve">e likestilling og kjempe mot diskriminering </w:t>
      </w:r>
      <w:r>
        <w:rPr>
          <w:lang w:val="nn-NO"/>
        </w:rPr>
        <w:t>på grunn av</w:t>
      </w:r>
      <w:r w:rsidRPr="006202FB">
        <w:rPr>
          <w:lang w:val="nn-NO"/>
        </w:rPr>
        <w:t xml:space="preserve"> kjønn, etnisitet, religion, </w:t>
      </w:r>
      <w:r>
        <w:rPr>
          <w:lang w:val="nn-NO"/>
        </w:rPr>
        <w:t xml:space="preserve">nedsett </w:t>
      </w:r>
      <w:r w:rsidRPr="006202FB">
        <w:rPr>
          <w:lang w:val="nn-NO"/>
        </w:rPr>
        <w:t>funksjonsevne, seksuell orientering, kjønnsidentitet, kjønnsuttrykk, alder, medlemskap i arbeidstakarorganisasjon og politisk syn.</w:t>
      </w:r>
    </w:p>
    <w:p w:rsidR="00650938" w:rsidRPr="006202FB" w:rsidRDefault="00650938" w:rsidP="00D63857">
      <w:pPr>
        <w:rPr>
          <w:lang w:val="nn-NO"/>
        </w:rPr>
      </w:pPr>
      <w:r>
        <w:rPr>
          <w:lang w:val="nn-NO"/>
        </w:rPr>
        <w:t>Ombodet</w:t>
      </w:r>
      <w:r w:rsidRPr="006202FB">
        <w:rPr>
          <w:lang w:val="nn-NO"/>
        </w:rPr>
        <w:t xml:space="preserve"> </w:t>
      </w:r>
      <w:r w:rsidR="00D63857">
        <w:rPr>
          <w:lang w:val="nn-NO"/>
        </w:rPr>
        <w:t xml:space="preserve">er </w:t>
      </w:r>
      <w:r w:rsidRPr="006202FB">
        <w:rPr>
          <w:lang w:val="nn-NO"/>
        </w:rPr>
        <w:t xml:space="preserve">organisert i </w:t>
      </w:r>
      <w:r w:rsidR="008B0352">
        <w:rPr>
          <w:lang w:val="nn-NO"/>
        </w:rPr>
        <w:t xml:space="preserve">tre </w:t>
      </w:r>
      <w:r w:rsidRPr="006202FB">
        <w:rPr>
          <w:lang w:val="nn-NO"/>
        </w:rPr>
        <w:t>avdelingar.</w:t>
      </w:r>
      <w:r w:rsidR="008B0352">
        <w:rPr>
          <w:lang w:val="nn-NO"/>
        </w:rPr>
        <w:t xml:space="preserve"> I tillegg har O</w:t>
      </w:r>
      <w:r>
        <w:rPr>
          <w:lang w:val="nn-NO"/>
        </w:rPr>
        <w:t xml:space="preserve">mbodet </w:t>
      </w:r>
      <w:r w:rsidR="00F01E54">
        <w:rPr>
          <w:lang w:val="nn-NO"/>
        </w:rPr>
        <w:t xml:space="preserve">ein </w:t>
      </w:r>
      <w:r>
        <w:rPr>
          <w:lang w:val="nn-NO"/>
        </w:rPr>
        <w:t xml:space="preserve">stab </w:t>
      </w:r>
      <w:r w:rsidR="008B0352">
        <w:rPr>
          <w:lang w:val="nn-NO"/>
        </w:rPr>
        <w:t xml:space="preserve">med </w:t>
      </w:r>
      <w:r>
        <w:rPr>
          <w:lang w:val="nn-NO"/>
        </w:rPr>
        <w:t xml:space="preserve">ansvaret for </w:t>
      </w:r>
      <w:r w:rsidR="008B0352">
        <w:rPr>
          <w:lang w:val="nn-NO"/>
        </w:rPr>
        <w:t xml:space="preserve">kommunikasjons- og </w:t>
      </w:r>
      <w:r>
        <w:rPr>
          <w:lang w:val="nn-NO"/>
        </w:rPr>
        <w:t xml:space="preserve">mediearbeidet. </w:t>
      </w:r>
      <w:r w:rsidR="00B55ED2">
        <w:rPr>
          <w:lang w:val="nn-NO"/>
        </w:rPr>
        <w:t>Ombo</w:t>
      </w:r>
      <w:r w:rsidR="00D63857" w:rsidRPr="00D63857">
        <w:rPr>
          <w:lang w:val="nn-NO"/>
        </w:rPr>
        <w:t>det</w:t>
      </w:r>
      <w:r w:rsidR="00B0373B">
        <w:rPr>
          <w:lang w:val="nn-NO"/>
        </w:rPr>
        <w:t xml:space="preserve"> sitt</w:t>
      </w:r>
      <w:r w:rsidR="00B55ED2">
        <w:rPr>
          <w:lang w:val="nn-NO"/>
        </w:rPr>
        <w:t xml:space="preserve"> tilsynsmandat inneb</w:t>
      </w:r>
      <w:r w:rsidR="00D63857" w:rsidRPr="00D63857">
        <w:rPr>
          <w:lang w:val="nn-NO"/>
        </w:rPr>
        <w:t>er e</w:t>
      </w:r>
      <w:r w:rsidR="00B55ED2">
        <w:rPr>
          <w:lang w:val="nn-NO"/>
        </w:rPr>
        <w:t>i</w:t>
      </w:r>
      <w:r w:rsidR="00D63857" w:rsidRPr="00D63857">
        <w:rPr>
          <w:lang w:val="nn-NO"/>
        </w:rPr>
        <w:t>t</w:t>
      </w:r>
      <w:r w:rsidR="00B55ED2">
        <w:rPr>
          <w:lang w:val="nn-NO"/>
        </w:rPr>
        <w:t xml:space="preserve"> ansvar for å overva</w:t>
      </w:r>
      <w:r w:rsidR="00D63857" w:rsidRPr="00D63857">
        <w:rPr>
          <w:lang w:val="nn-NO"/>
        </w:rPr>
        <w:t>ke og rapportere om</w:t>
      </w:r>
      <w:r w:rsidR="00D63857">
        <w:rPr>
          <w:lang w:val="nn-NO"/>
        </w:rPr>
        <w:t xml:space="preserve"> </w:t>
      </w:r>
      <w:r w:rsidR="004B2FD3">
        <w:rPr>
          <w:lang w:val="nn-NO"/>
        </w:rPr>
        <w:t>menneskerettane si</w:t>
      </w:r>
      <w:r w:rsidR="00D63857" w:rsidRPr="00D63857">
        <w:rPr>
          <w:lang w:val="nn-NO"/>
        </w:rPr>
        <w:t xml:space="preserve"> stilling i </w:t>
      </w:r>
      <w:r w:rsidR="005C4E7E">
        <w:rPr>
          <w:lang w:val="nn-NO"/>
        </w:rPr>
        <w:t>Noreg</w:t>
      </w:r>
      <w:r w:rsidR="00D63857" w:rsidRPr="00D63857">
        <w:rPr>
          <w:lang w:val="nn-NO"/>
        </w:rPr>
        <w:t xml:space="preserve"> på de</w:t>
      </w:r>
      <w:r w:rsidR="00B55ED2">
        <w:rPr>
          <w:lang w:val="nn-NO"/>
        </w:rPr>
        <w:t>i områda som er verna</w:t>
      </w:r>
      <w:r w:rsidR="00D63857" w:rsidRPr="00D63857">
        <w:rPr>
          <w:lang w:val="nn-NO"/>
        </w:rPr>
        <w:t xml:space="preserve"> av kvinnekonvensjonen,</w:t>
      </w:r>
      <w:r w:rsidR="00B55ED2">
        <w:rPr>
          <w:lang w:val="nn-NO"/>
        </w:rPr>
        <w:t xml:space="preserve"> </w:t>
      </w:r>
      <w:r w:rsidR="00D63857" w:rsidRPr="00D63857">
        <w:rPr>
          <w:lang w:val="nn-NO"/>
        </w:rPr>
        <w:t xml:space="preserve">rasediskrimineringskonvensjonen og konvensjonen for </w:t>
      </w:r>
      <w:r w:rsidR="00167B4E">
        <w:rPr>
          <w:lang w:val="nn-NO"/>
        </w:rPr>
        <w:t>menneske med nedsett funksjonsevne. T</w:t>
      </w:r>
      <w:r w:rsidR="00A44F98">
        <w:rPr>
          <w:lang w:val="nn-NO"/>
        </w:rPr>
        <w:t>ilsynsavdelinga</w:t>
      </w:r>
      <w:r w:rsidR="00D63857" w:rsidRPr="00D63857">
        <w:rPr>
          <w:lang w:val="nn-NO"/>
        </w:rPr>
        <w:t xml:space="preserve"> arbeider </w:t>
      </w:r>
      <w:r w:rsidR="009C28DC">
        <w:rPr>
          <w:lang w:val="nn-NO"/>
        </w:rPr>
        <w:t>særleg</w:t>
      </w:r>
      <w:r w:rsidR="00D63857" w:rsidRPr="00D63857">
        <w:rPr>
          <w:lang w:val="nn-NO"/>
        </w:rPr>
        <w:t xml:space="preserve"> med</w:t>
      </w:r>
      <w:r w:rsidR="00D63857">
        <w:rPr>
          <w:lang w:val="nn-NO"/>
        </w:rPr>
        <w:t xml:space="preserve"> </w:t>
      </w:r>
      <w:r w:rsidR="00D63857" w:rsidRPr="00D63857">
        <w:rPr>
          <w:lang w:val="nn-NO"/>
        </w:rPr>
        <w:t>strukt</w:t>
      </w:r>
      <w:r w:rsidR="00E02FC2">
        <w:rPr>
          <w:lang w:val="nn-NO"/>
        </w:rPr>
        <w:t>urell diskriminering. Avdelinga</w:t>
      </w:r>
      <w:r w:rsidR="00D63857" w:rsidRPr="00D63857">
        <w:rPr>
          <w:lang w:val="nn-NO"/>
        </w:rPr>
        <w:t xml:space="preserve"> utarbeider blant</w:t>
      </w:r>
      <w:r w:rsidR="00D63857">
        <w:rPr>
          <w:lang w:val="nn-NO"/>
        </w:rPr>
        <w:t xml:space="preserve"> </w:t>
      </w:r>
      <w:r w:rsidR="00E57AF3">
        <w:rPr>
          <w:lang w:val="nn-NO"/>
        </w:rPr>
        <w:t>anna</w:t>
      </w:r>
      <w:r w:rsidR="00E02FC2">
        <w:rPr>
          <w:lang w:val="nn-NO"/>
        </w:rPr>
        <w:t xml:space="preserve"> uavhengige supplerande rapporta</w:t>
      </w:r>
      <w:r w:rsidR="00D63857" w:rsidRPr="00D63857">
        <w:rPr>
          <w:lang w:val="nn-NO"/>
        </w:rPr>
        <w:t>r til FN-komite</w:t>
      </w:r>
      <w:r w:rsidR="00E02FC2">
        <w:rPr>
          <w:lang w:val="nn-NO"/>
        </w:rPr>
        <w:t>ane, og bidreg</w:t>
      </w:r>
      <w:r w:rsidR="00D63857" w:rsidRPr="00D63857">
        <w:rPr>
          <w:lang w:val="nn-NO"/>
        </w:rPr>
        <w:t xml:space="preserve"> med kunnskap om</w:t>
      </w:r>
      <w:r w:rsidR="00D63857">
        <w:rPr>
          <w:lang w:val="nn-NO"/>
        </w:rPr>
        <w:t xml:space="preserve"> </w:t>
      </w:r>
      <w:r w:rsidR="00F81648">
        <w:rPr>
          <w:lang w:val="nn-NO"/>
        </w:rPr>
        <w:t>utfordringar knytt</w:t>
      </w:r>
      <w:r w:rsidR="00D63857" w:rsidRPr="00D63857">
        <w:rPr>
          <w:lang w:val="nn-NO"/>
        </w:rPr>
        <w:t xml:space="preserve"> til realisering av ret</w:t>
      </w:r>
      <w:r w:rsidR="00F81648">
        <w:rPr>
          <w:lang w:val="nn-NO"/>
        </w:rPr>
        <w:t>tane</w:t>
      </w:r>
      <w:r w:rsidR="00D63857" w:rsidRPr="00D63857">
        <w:rPr>
          <w:lang w:val="nn-NO"/>
        </w:rPr>
        <w:t>.</w:t>
      </w:r>
      <w:r w:rsidRPr="006202FB">
        <w:rPr>
          <w:lang w:val="nn-NO"/>
        </w:rPr>
        <w:t xml:space="preserve"> Rettleiingsavdelinga </w:t>
      </w:r>
      <w:r w:rsidR="005511C4">
        <w:rPr>
          <w:lang w:val="nn-NO"/>
        </w:rPr>
        <w:t xml:space="preserve">held kurs i diskrimineringsrett, </w:t>
      </w:r>
      <w:r w:rsidR="00AA0360">
        <w:rPr>
          <w:lang w:val="nn-NO"/>
        </w:rPr>
        <w:t>gir</w:t>
      </w:r>
      <w:r w:rsidRPr="006202FB">
        <w:rPr>
          <w:lang w:val="nn-NO"/>
        </w:rPr>
        <w:t xml:space="preserve"> </w:t>
      </w:r>
      <w:r w:rsidR="005511C4">
        <w:rPr>
          <w:lang w:val="nn-NO"/>
        </w:rPr>
        <w:t xml:space="preserve">individuell </w:t>
      </w:r>
      <w:r w:rsidRPr="006202FB">
        <w:rPr>
          <w:lang w:val="nn-NO"/>
        </w:rPr>
        <w:t xml:space="preserve">rettleiing til </w:t>
      </w:r>
      <w:r>
        <w:rPr>
          <w:lang w:val="nn-NO"/>
        </w:rPr>
        <w:t>alle dei som</w:t>
      </w:r>
      <w:r w:rsidRPr="006202FB">
        <w:rPr>
          <w:lang w:val="nn-NO"/>
        </w:rPr>
        <w:t xml:space="preserve"> har spørsmål om likestilling og diskriminering</w:t>
      </w:r>
      <w:r w:rsidR="00FA3B89">
        <w:rPr>
          <w:lang w:val="nn-NO"/>
        </w:rPr>
        <w:t>,</w:t>
      </w:r>
      <w:r w:rsidRPr="006202FB">
        <w:rPr>
          <w:lang w:val="nn-NO"/>
        </w:rPr>
        <w:t xml:space="preserve"> og </w:t>
      </w:r>
      <w:r w:rsidR="005511C4">
        <w:rPr>
          <w:lang w:val="nn-NO"/>
        </w:rPr>
        <w:t xml:space="preserve">arbeider med </w:t>
      </w:r>
      <w:r w:rsidRPr="006202FB">
        <w:rPr>
          <w:lang w:val="nn-NO"/>
        </w:rPr>
        <w:t>rettar og plikt</w:t>
      </w:r>
      <w:r>
        <w:rPr>
          <w:lang w:val="nn-NO"/>
        </w:rPr>
        <w:t>e</w:t>
      </w:r>
      <w:r w:rsidRPr="006202FB">
        <w:rPr>
          <w:lang w:val="nn-NO"/>
        </w:rPr>
        <w:t xml:space="preserve">r i arbeidslivet. </w:t>
      </w:r>
      <w:r>
        <w:rPr>
          <w:lang w:val="nn-NO"/>
        </w:rPr>
        <w:t>HR og d</w:t>
      </w:r>
      <w:r w:rsidRPr="006202FB">
        <w:rPr>
          <w:lang w:val="nn-NO"/>
        </w:rPr>
        <w:t>riftsavdelinga ha</w:t>
      </w:r>
      <w:r>
        <w:rPr>
          <w:lang w:val="nn-NO"/>
        </w:rPr>
        <w:t>r oppgåver knytta til drifta av ombodet</w:t>
      </w:r>
      <w:r w:rsidRPr="006202FB">
        <w:rPr>
          <w:lang w:val="nn-NO"/>
        </w:rPr>
        <w:t>, og skal ivareta støttefunksjonar mellom anna innan økonomi, arkiv, kontoradministrasjon, personal, dat</w:t>
      </w:r>
      <w:r>
        <w:rPr>
          <w:lang w:val="nn-NO"/>
        </w:rPr>
        <w:t xml:space="preserve">atenester og </w:t>
      </w:r>
      <w:r w:rsidRPr="00262265">
        <w:rPr>
          <w:lang w:val="nn-NO"/>
        </w:rPr>
        <w:t>førstelinjeteneste.</w:t>
      </w:r>
      <w:r w:rsidRPr="006202FB">
        <w:rPr>
          <w:lang w:val="nn-NO"/>
        </w:rPr>
        <w:t xml:space="preserve"> </w:t>
      </w:r>
    </w:p>
    <w:p w:rsidR="00650938" w:rsidRPr="00B4759C" w:rsidRDefault="00650938" w:rsidP="00650938">
      <w:pPr>
        <w:rPr>
          <w:lang w:val="nn-NO"/>
        </w:rPr>
      </w:pPr>
      <w:r w:rsidRPr="00B4759C">
        <w:rPr>
          <w:lang w:val="nn-NO"/>
        </w:rPr>
        <w:t xml:space="preserve">  </w:t>
      </w:r>
    </w:p>
    <w:p w:rsidR="00650938" w:rsidRPr="006202FB" w:rsidRDefault="00650938" w:rsidP="00650938">
      <w:pPr>
        <w:pStyle w:val="Overskrift3"/>
      </w:pPr>
      <w:r w:rsidRPr="006202FB">
        <w:t>Hovudtal i 201</w:t>
      </w:r>
      <w:r>
        <w:t>9</w:t>
      </w:r>
    </w:p>
    <w:p w:rsidR="00650938" w:rsidRDefault="00650938" w:rsidP="000E7EF0">
      <w:pPr>
        <w:rPr>
          <w:lang w:val="nn-NO"/>
        </w:rPr>
      </w:pPr>
      <w:r w:rsidRPr="006202FB">
        <w:rPr>
          <w:lang w:val="nn-NO"/>
        </w:rPr>
        <w:t>I 201</w:t>
      </w:r>
      <w:r>
        <w:rPr>
          <w:lang w:val="nn-NO"/>
        </w:rPr>
        <w:t>9</w:t>
      </w:r>
      <w:r w:rsidRPr="006202FB">
        <w:rPr>
          <w:lang w:val="nn-NO"/>
        </w:rPr>
        <w:t xml:space="preserve"> fekk </w:t>
      </w:r>
      <w:r w:rsidR="005511C4">
        <w:rPr>
          <w:lang w:val="nn-NO"/>
        </w:rPr>
        <w:t>o</w:t>
      </w:r>
      <w:r w:rsidR="008B0352">
        <w:rPr>
          <w:lang w:val="nn-NO"/>
        </w:rPr>
        <w:t xml:space="preserve">mbodet </w:t>
      </w:r>
      <w:r>
        <w:rPr>
          <w:lang w:val="nn-NO"/>
        </w:rPr>
        <w:t>1988</w:t>
      </w:r>
      <w:r w:rsidRPr="006202FB">
        <w:rPr>
          <w:lang w:val="nn-NO"/>
        </w:rPr>
        <w:t xml:space="preserve"> førespurnader om rettleiing</w:t>
      </w:r>
      <w:r>
        <w:rPr>
          <w:lang w:val="nn-NO"/>
        </w:rPr>
        <w:t xml:space="preserve"> og har hal</w:t>
      </w:r>
      <w:r w:rsidR="00F536B4">
        <w:rPr>
          <w:lang w:val="nn-NO"/>
        </w:rPr>
        <w:t xml:space="preserve">de om lag 130 innlegg, kurs og </w:t>
      </w:r>
      <w:r>
        <w:rPr>
          <w:lang w:val="nn-NO"/>
        </w:rPr>
        <w:t>føredrag for om lag 57</w:t>
      </w:r>
      <w:r w:rsidRPr="00F55C1F">
        <w:rPr>
          <w:lang w:val="nn-NO"/>
        </w:rPr>
        <w:t>00 deltakarar</w:t>
      </w:r>
      <w:r>
        <w:rPr>
          <w:lang w:val="nn-NO"/>
        </w:rPr>
        <w:t xml:space="preserve">. Av desse heldt ombodet aleine </w:t>
      </w:r>
      <w:r w:rsidRPr="000E7EF0">
        <w:rPr>
          <w:lang w:val="nn-NO"/>
        </w:rPr>
        <w:t>26</w:t>
      </w:r>
      <w:r>
        <w:rPr>
          <w:lang w:val="nn-NO"/>
        </w:rPr>
        <w:t xml:space="preserve"> føredrag</w:t>
      </w:r>
      <w:r w:rsidR="000E7EF0">
        <w:rPr>
          <w:lang w:val="nn-NO"/>
        </w:rPr>
        <w:t>.</w:t>
      </w:r>
    </w:p>
    <w:p w:rsidR="000E7EF0" w:rsidRPr="00F55C1F" w:rsidRDefault="000E7EF0" w:rsidP="000E7EF0">
      <w:pPr>
        <w:rPr>
          <w:b/>
          <w:lang w:val="nn-NO"/>
        </w:rPr>
      </w:pPr>
    </w:p>
    <w:p w:rsidR="00650938" w:rsidRPr="006202FB" w:rsidRDefault="00A90623" w:rsidP="00650938">
      <w:pPr>
        <w:pStyle w:val="Overskrift3"/>
      </w:pPr>
      <w:r>
        <w:t>Utval av</w:t>
      </w:r>
      <w:r w:rsidR="00650938" w:rsidRPr="006202FB">
        <w:t xml:space="preserve"> nøkkeltal frå årsre</w:t>
      </w:r>
      <w:r w:rsidR="00650938">
        <w:t>k</w:t>
      </w:r>
      <w:r w:rsidR="00650938" w:rsidRPr="006202FB">
        <w:t>n</w:t>
      </w:r>
      <w:r w:rsidR="00650938">
        <w:t>e</w:t>
      </w:r>
      <w:r w:rsidR="00650938" w:rsidRPr="006202FB">
        <w:t>skape</w:t>
      </w:r>
      <w:r w:rsidR="00650938">
        <w:t>n</w:t>
      </w:r>
    </w:p>
    <w:tbl>
      <w:tblPr>
        <w:tblW w:w="7240" w:type="dxa"/>
        <w:tblCellMar>
          <w:left w:w="0" w:type="dxa"/>
          <w:right w:w="0" w:type="dxa"/>
        </w:tblCellMar>
        <w:tblLook w:val="04A0" w:firstRow="1" w:lastRow="0" w:firstColumn="1" w:lastColumn="0" w:noHBand="0" w:noVBand="1"/>
      </w:tblPr>
      <w:tblGrid>
        <w:gridCol w:w="3079"/>
        <w:gridCol w:w="1361"/>
        <w:gridCol w:w="1400"/>
        <w:gridCol w:w="1400"/>
      </w:tblGrid>
      <w:tr w:rsidR="00650938" w:rsidRPr="000D7901" w:rsidTr="006A0EE9">
        <w:trPr>
          <w:trHeight w:val="300"/>
        </w:trPr>
        <w:tc>
          <w:tcPr>
            <w:tcW w:w="4440" w:type="dxa"/>
            <w:gridSpan w:val="2"/>
            <w:noWrap/>
            <w:tcMar>
              <w:top w:w="0" w:type="dxa"/>
              <w:left w:w="70" w:type="dxa"/>
              <w:bottom w:w="0" w:type="dxa"/>
              <w:right w:w="70" w:type="dxa"/>
            </w:tcMar>
            <w:vAlign w:val="bottom"/>
            <w:hideMark/>
          </w:tcPr>
          <w:p w:rsidR="00650938" w:rsidRPr="006202FB" w:rsidRDefault="00650938" w:rsidP="006A0EE9">
            <w:pPr>
              <w:rPr>
                <w:lang w:val="nn-NO"/>
              </w:rPr>
            </w:pPr>
          </w:p>
        </w:tc>
        <w:tc>
          <w:tcPr>
            <w:tcW w:w="1400" w:type="dxa"/>
            <w:noWrap/>
            <w:tcMar>
              <w:top w:w="0" w:type="dxa"/>
              <w:left w:w="70" w:type="dxa"/>
              <w:bottom w:w="0" w:type="dxa"/>
              <w:right w:w="70" w:type="dxa"/>
            </w:tcMar>
            <w:vAlign w:val="bottom"/>
            <w:hideMark/>
          </w:tcPr>
          <w:p w:rsidR="00650938" w:rsidRPr="006202FB" w:rsidRDefault="00650938" w:rsidP="006A0EE9">
            <w:pPr>
              <w:rPr>
                <w:lang w:val="nn-NO"/>
              </w:rPr>
            </w:pPr>
          </w:p>
        </w:tc>
        <w:tc>
          <w:tcPr>
            <w:tcW w:w="1400" w:type="dxa"/>
            <w:noWrap/>
            <w:tcMar>
              <w:top w:w="0" w:type="dxa"/>
              <w:left w:w="70" w:type="dxa"/>
              <w:bottom w:w="0" w:type="dxa"/>
              <w:right w:w="70" w:type="dxa"/>
            </w:tcMar>
            <w:vAlign w:val="bottom"/>
            <w:hideMark/>
          </w:tcPr>
          <w:p w:rsidR="00650938" w:rsidRPr="006202FB" w:rsidRDefault="00650938" w:rsidP="006A0EE9">
            <w:pPr>
              <w:rPr>
                <w:lang w:val="nn-NO"/>
              </w:rPr>
            </w:pPr>
          </w:p>
        </w:tc>
      </w:tr>
      <w:tr w:rsidR="00650938" w:rsidRPr="006202FB" w:rsidTr="006A0EE9">
        <w:trPr>
          <w:trHeight w:val="300"/>
        </w:trPr>
        <w:tc>
          <w:tcPr>
            <w:tcW w:w="3079" w:type="dxa"/>
            <w:tcBorders>
              <w:top w:val="nil"/>
              <w:left w:val="nil"/>
              <w:bottom w:val="single" w:sz="8" w:space="0" w:color="auto"/>
              <w:right w:val="nil"/>
            </w:tcBorders>
            <w:noWrap/>
            <w:tcMar>
              <w:top w:w="0" w:type="dxa"/>
              <w:left w:w="70" w:type="dxa"/>
              <w:bottom w:w="0" w:type="dxa"/>
              <w:right w:w="70" w:type="dxa"/>
            </w:tcMar>
            <w:vAlign w:val="bottom"/>
            <w:hideMark/>
          </w:tcPr>
          <w:p w:rsidR="00650938" w:rsidRPr="00582E4F" w:rsidRDefault="00650938" w:rsidP="006A0EE9">
            <w:pPr>
              <w:rPr>
                <w:b/>
                <w:lang w:val="nn-NO"/>
              </w:rPr>
            </w:pPr>
            <w:r w:rsidRPr="00582E4F">
              <w:rPr>
                <w:b/>
                <w:lang w:val="nn-NO"/>
              </w:rPr>
              <w:t>2017-2019</w:t>
            </w:r>
          </w:p>
        </w:tc>
        <w:tc>
          <w:tcPr>
            <w:tcW w:w="1361" w:type="dxa"/>
            <w:tcBorders>
              <w:top w:val="nil"/>
              <w:left w:val="nil"/>
              <w:bottom w:val="single" w:sz="8" w:space="0" w:color="auto"/>
              <w:right w:val="nil"/>
            </w:tcBorders>
            <w:noWrap/>
            <w:tcMar>
              <w:top w:w="0" w:type="dxa"/>
              <w:left w:w="70" w:type="dxa"/>
              <w:bottom w:w="0" w:type="dxa"/>
              <w:right w:w="70" w:type="dxa"/>
            </w:tcMar>
            <w:vAlign w:val="bottom"/>
          </w:tcPr>
          <w:p w:rsidR="00650938" w:rsidRPr="006202FB" w:rsidRDefault="00650938" w:rsidP="006A0EE9">
            <w:pPr>
              <w:jc w:val="right"/>
              <w:rPr>
                <w:lang w:val="nn-NO"/>
              </w:rPr>
            </w:pPr>
            <w:r>
              <w:rPr>
                <w:lang w:val="nn-NO"/>
              </w:rPr>
              <w:t>2017</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rsidR="00650938" w:rsidRPr="006202FB" w:rsidRDefault="00650938" w:rsidP="006A0EE9">
            <w:pPr>
              <w:jc w:val="right"/>
              <w:rPr>
                <w:lang w:val="nn-NO"/>
              </w:rPr>
            </w:pPr>
            <w:r w:rsidRPr="006202FB">
              <w:rPr>
                <w:lang w:val="nn-NO"/>
              </w:rPr>
              <w:t>201</w:t>
            </w:r>
            <w:r>
              <w:rPr>
                <w:lang w:val="nn-NO"/>
              </w:rPr>
              <w:t>8</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rsidR="00650938" w:rsidRPr="006202FB" w:rsidRDefault="00650938" w:rsidP="006A0EE9">
            <w:pPr>
              <w:jc w:val="right"/>
              <w:rPr>
                <w:lang w:val="nn-NO"/>
              </w:rPr>
            </w:pPr>
            <w:r w:rsidRPr="006202FB">
              <w:rPr>
                <w:lang w:val="nn-NO"/>
              </w:rPr>
              <w:t>201</w:t>
            </w:r>
            <w:r>
              <w:rPr>
                <w:lang w:val="nn-NO"/>
              </w:rPr>
              <w:t>9</w:t>
            </w:r>
          </w:p>
        </w:tc>
      </w:tr>
      <w:tr w:rsidR="00650938" w:rsidRPr="00C723B7" w:rsidTr="006A0EE9">
        <w:trPr>
          <w:trHeight w:val="285"/>
        </w:trPr>
        <w:tc>
          <w:tcPr>
            <w:tcW w:w="3079" w:type="dxa"/>
            <w:noWrap/>
            <w:tcMar>
              <w:top w:w="0" w:type="dxa"/>
              <w:left w:w="70" w:type="dxa"/>
              <w:bottom w:w="0" w:type="dxa"/>
              <w:right w:w="70" w:type="dxa"/>
            </w:tcMar>
            <w:vAlign w:val="bottom"/>
            <w:hideMark/>
          </w:tcPr>
          <w:p w:rsidR="00650938" w:rsidRPr="006202FB" w:rsidRDefault="00650938" w:rsidP="006A0EE9">
            <w:pPr>
              <w:rPr>
                <w:lang w:val="nn-NO"/>
              </w:rPr>
            </w:pPr>
            <w:r>
              <w:rPr>
                <w:lang w:val="nn-NO"/>
              </w:rPr>
              <w:t>Tal på</w:t>
            </w:r>
            <w:r w:rsidRPr="006202FB">
              <w:rPr>
                <w:lang w:val="nn-NO"/>
              </w:rPr>
              <w:t xml:space="preserve"> </w:t>
            </w:r>
            <w:r>
              <w:rPr>
                <w:lang w:val="nn-NO"/>
              </w:rPr>
              <w:t>tilsette</w:t>
            </w:r>
            <w:r w:rsidR="00802A30">
              <w:rPr>
                <w:lang w:val="nn-NO"/>
              </w:rPr>
              <w:t>*</w:t>
            </w:r>
          </w:p>
        </w:tc>
        <w:tc>
          <w:tcPr>
            <w:tcW w:w="1361" w:type="dxa"/>
            <w:noWrap/>
            <w:tcMar>
              <w:top w:w="0" w:type="dxa"/>
              <w:left w:w="70" w:type="dxa"/>
              <w:bottom w:w="0" w:type="dxa"/>
              <w:right w:w="70" w:type="dxa"/>
            </w:tcMar>
            <w:vAlign w:val="bottom"/>
          </w:tcPr>
          <w:p w:rsidR="00650938" w:rsidRPr="00255232" w:rsidRDefault="00650938" w:rsidP="006A0EE9">
            <w:pPr>
              <w:jc w:val="right"/>
              <w:rPr>
                <w:lang w:val="nn-NO"/>
              </w:rPr>
            </w:pPr>
            <w:r w:rsidRPr="00255232">
              <w:rPr>
                <w:lang w:val="nn-NO"/>
              </w:rPr>
              <w:t>53</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43</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39</w:t>
            </w:r>
          </w:p>
        </w:tc>
      </w:tr>
      <w:tr w:rsidR="00650938" w:rsidRPr="006202FB" w:rsidTr="006A0EE9">
        <w:trPr>
          <w:trHeight w:val="285"/>
        </w:trPr>
        <w:tc>
          <w:tcPr>
            <w:tcW w:w="3079" w:type="dxa"/>
            <w:noWrap/>
            <w:tcMar>
              <w:top w:w="0" w:type="dxa"/>
              <w:left w:w="70" w:type="dxa"/>
              <w:bottom w:w="0" w:type="dxa"/>
              <w:right w:w="70" w:type="dxa"/>
            </w:tcMar>
            <w:vAlign w:val="bottom"/>
            <w:hideMark/>
          </w:tcPr>
          <w:p w:rsidR="00650938" w:rsidRPr="006202FB" w:rsidRDefault="00650938" w:rsidP="006A0EE9">
            <w:pPr>
              <w:rPr>
                <w:lang w:val="nn-NO"/>
              </w:rPr>
            </w:pPr>
            <w:r>
              <w:rPr>
                <w:lang w:val="nn-NO"/>
              </w:rPr>
              <w:t>Løyvingar</w:t>
            </w:r>
          </w:p>
        </w:tc>
        <w:tc>
          <w:tcPr>
            <w:tcW w:w="1361" w:type="dxa"/>
            <w:noWrap/>
            <w:tcMar>
              <w:top w:w="0" w:type="dxa"/>
              <w:left w:w="70" w:type="dxa"/>
              <w:bottom w:w="0" w:type="dxa"/>
              <w:right w:w="70" w:type="dxa"/>
            </w:tcMar>
            <w:vAlign w:val="bottom"/>
          </w:tcPr>
          <w:p w:rsidR="00650938" w:rsidRPr="00255232" w:rsidRDefault="00650938" w:rsidP="006A0EE9">
            <w:pPr>
              <w:jc w:val="right"/>
              <w:rPr>
                <w:lang w:val="nn-NO"/>
              </w:rPr>
            </w:pPr>
            <w:r w:rsidRPr="00255232">
              <w:rPr>
                <w:lang w:val="nn-NO"/>
              </w:rPr>
              <w:t>55 107 000</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42 821 000</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43 843 000</w:t>
            </w:r>
          </w:p>
        </w:tc>
      </w:tr>
      <w:tr w:rsidR="00650938" w:rsidRPr="006202FB" w:rsidTr="006A0EE9">
        <w:trPr>
          <w:trHeight w:val="285"/>
        </w:trPr>
        <w:tc>
          <w:tcPr>
            <w:tcW w:w="3079" w:type="dxa"/>
            <w:noWrap/>
            <w:tcMar>
              <w:top w:w="0" w:type="dxa"/>
              <w:left w:w="70" w:type="dxa"/>
              <w:bottom w:w="0" w:type="dxa"/>
              <w:right w:w="70" w:type="dxa"/>
            </w:tcMar>
            <w:vAlign w:val="bottom"/>
            <w:hideMark/>
          </w:tcPr>
          <w:p w:rsidR="00650938" w:rsidRPr="006202FB" w:rsidRDefault="00650938" w:rsidP="006A0EE9">
            <w:pPr>
              <w:rPr>
                <w:lang w:val="nn-NO"/>
              </w:rPr>
            </w:pPr>
            <w:r w:rsidRPr="006202FB">
              <w:rPr>
                <w:lang w:val="nn-NO"/>
              </w:rPr>
              <w:t>Driftsutgifter</w:t>
            </w:r>
          </w:p>
        </w:tc>
        <w:tc>
          <w:tcPr>
            <w:tcW w:w="1361" w:type="dxa"/>
            <w:noWrap/>
            <w:tcMar>
              <w:top w:w="0" w:type="dxa"/>
              <w:left w:w="70" w:type="dxa"/>
              <w:bottom w:w="0" w:type="dxa"/>
              <w:right w:w="70" w:type="dxa"/>
            </w:tcMar>
            <w:vAlign w:val="bottom"/>
          </w:tcPr>
          <w:p w:rsidR="00650938" w:rsidRPr="00255232" w:rsidRDefault="00650938" w:rsidP="006A0EE9">
            <w:pPr>
              <w:jc w:val="right"/>
              <w:rPr>
                <w:lang w:val="nn-NO"/>
              </w:rPr>
            </w:pPr>
            <w:r w:rsidRPr="00255232">
              <w:rPr>
                <w:lang w:val="nn-NO"/>
              </w:rPr>
              <w:t>50 128 821</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47 206 412</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40 009 345</w:t>
            </w:r>
          </w:p>
        </w:tc>
      </w:tr>
      <w:tr w:rsidR="00650938" w:rsidRPr="006202FB" w:rsidTr="006A0EE9">
        <w:trPr>
          <w:trHeight w:val="285"/>
        </w:trPr>
        <w:tc>
          <w:tcPr>
            <w:tcW w:w="3079" w:type="dxa"/>
            <w:noWrap/>
            <w:tcMar>
              <w:top w:w="0" w:type="dxa"/>
              <w:left w:w="70" w:type="dxa"/>
              <w:bottom w:w="0" w:type="dxa"/>
              <w:right w:w="70" w:type="dxa"/>
            </w:tcMar>
            <w:vAlign w:val="bottom"/>
            <w:hideMark/>
          </w:tcPr>
          <w:p w:rsidR="00650938" w:rsidRPr="006202FB" w:rsidRDefault="00650938" w:rsidP="006A0EE9">
            <w:pPr>
              <w:rPr>
                <w:lang w:val="nn-NO"/>
              </w:rPr>
            </w:pPr>
            <w:r w:rsidRPr="006202FB">
              <w:rPr>
                <w:lang w:val="nn-NO"/>
              </w:rPr>
              <w:t>Løn</w:t>
            </w:r>
            <w:r w:rsidR="00F536B4">
              <w:rPr>
                <w:lang w:val="nn-NO"/>
              </w:rPr>
              <w:t>n</w:t>
            </w:r>
            <w:r>
              <w:rPr>
                <w:lang w:val="nn-NO"/>
              </w:rPr>
              <w:t>s</w:t>
            </w:r>
            <w:r w:rsidRPr="006202FB">
              <w:rPr>
                <w:lang w:val="nn-NO"/>
              </w:rPr>
              <w:t>del av driftsutgift</w:t>
            </w:r>
            <w:r>
              <w:rPr>
                <w:lang w:val="nn-NO"/>
              </w:rPr>
              <w:t>er</w:t>
            </w:r>
          </w:p>
        </w:tc>
        <w:tc>
          <w:tcPr>
            <w:tcW w:w="1361" w:type="dxa"/>
            <w:noWrap/>
            <w:tcMar>
              <w:top w:w="0" w:type="dxa"/>
              <w:left w:w="70" w:type="dxa"/>
              <w:bottom w:w="0" w:type="dxa"/>
              <w:right w:w="70" w:type="dxa"/>
            </w:tcMar>
            <w:vAlign w:val="bottom"/>
          </w:tcPr>
          <w:p w:rsidR="00650938" w:rsidRPr="00255232" w:rsidRDefault="00650938" w:rsidP="006A0EE9">
            <w:pPr>
              <w:jc w:val="right"/>
              <w:rPr>
                <w:lang w:val="nn-NO"/>
              </w:rPr>
            </w:pPr>
            <w:r w:rsidRPr="00255232">
              <w:rPr>
                <w:lang w:val="nn-NO"/>
              </w:rPr>
              <w:t>74,0 %</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70,2 %</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73,7 %</w:t>
            </w:r>
          </w:p>
        </w:tc>
      </w:tr>
      <w:tr w:rsidR="00650938" w:rsidRPr="006202FB" w:rsidTr="006A0EE9">
        <w:trPr>
          <w:trHeight w:val="285"/>
        </w:trPr>
        <w:tc>
          <w:tcPr>
            <w:tcW w:w="3079" w:type="dxa"/>
            <w:noWrap/>
            <w:tcMar>
              <w:top w:w="0" w:type="dxa"/>
              <w:left w:w="70" w:type="dxa"/>
              <w:bottom w:w="0" w:type="dxa"/>
              <w:right w:w="70" w:type="dxa"/>
            </w:tcMar>
            <w:vAlign w:val="bottom"/>
            <w:hideMark/>
          </w:tcPr>
          <w:p w:rsidR="00650938" w:rsidRPr="006202FB" w:rsidRDefault="00650938" w:rsidP="006A0EE9">
            <w:r w:rsidRPr="006202FB">
              <w:t>Utgifter til lønn pr årsverk</w:t>
            </w:r>
          </w:p>
        </w:tc>
        <w:tc>
          <w:tcPr>
            <w:tcW w:w="1361" w:type="dxa"/>
            <w:noWrap/>
            <w:tcMar>
              <w:top w:w="0" w:type="dxa"/>
              <w:left w:w="70" w:type="dxa"/>
              <w:bottom w:w="0" w:type="dxa"/>
              <w:right w:w="70" w:type="dxa"/>
            </w:tcMar>
            <w:vAlign w:val="bottom"/>
          </w:tcPr>
          <w:p w:rsidR="00650938" w:rsidRPr="00255232" w:rsidRDefault="00650938" w:rsidP="006A0EE9">
            <w:pPr>
              <w:jc w:val="right"/>
              <w:rPr>
                <w:lang w:val="nn-NO"/>
              </w:rPr>
            </w:pPr>
            <w:r w:rsidRPr="00255232">
              <w:rPr>
                <w:lang w:val="nn-NO"/>
              </w:rPr>
              <w:t>695 204</w:t>
            </w:r>
          </w:p>
        </w:tc>
        <w:tc>
          <w:tcPr>
            <w:tcW w:w="1400" w:type="dxa"/>
            <w:noWrap/>
            <w:tcMar>
              <w:top w:w="0" w:type="dxa"/>
              <w:left w:w="70" w:type="dxa"/>
              <w:bottom w:w="0" w:type="dxa"/>
              <w:right w:w="70" w:type="dxa"/>
            </w:tcMar>
            <w:vAlign w:val="bottom"/>
            <w:hideMark/>
          </w:tcPr>
          <w:p w:rsidR="00650938" w:rsidRPr="00255232" w:rsidRDefault="00650938" w:rsidP="006A0EE9">
            <w:pPr>
              <w:jc w:val="right"/>
              <w:rPr>
                <w:lang w:val="nn-NO"/>
              </w:rPr>
            </w:pPr>
            <w:r w:rsidRPr="00255232">
              <w:rPr>
                <w:lang w:val="nn-NO"/>
              </w:rPr>
              <w:t>770 270</w:t>
            </w:r>
          </w:p>
        </w:tc>
        <w:tc>
          <w:tcPr>
            <w:tcW w:w="1400" w:type="dxa"/>
            <w:noWrap/>
            <w:tcMar>
              <w:top w:w="0" w:type="dxa"/>
              <w:left w:w="70" w:type="dxa"/>
              <w:bottom w:w="0" w:type="dxa"/>
              <w:right w:w="70" w:type="dxa"/>
            </w:tcMar>
            <w:vAlign w:val="bottom"/>
            <w:hideMark/>
          </w:tcPr>
          <w:p w:rsidR="00650938" w:rsidRPr="00255232" w:rsidRDefault="00650938" w:rsidP="00AA17D8">
            <w:pPr>
              <w:rPr>
                <w:lang w:val="nn-NO"/>
              </w:rPr>
            </w:pPr>
            <w:r w:rsidRPr="00255232">
              <w:rPr>
                <w:lang w:val="nn-NO"/>
              </w:rPr>
              <w:t xml:space="preserve">       756 </w:t>
            </w:r>
            <w:r w:rsidR="00AA17D8">
              <w:rPr>
                <w:lang w:val="nn-NO"/>
              </w:rPr>
              <w:t>229</w:t>
            </w:r>
          </w:p>
        </w:tc>
      </w:tr>
      <w:tr w:rsidR="00802A30" w:rsidRPr="006202FB" w:rsidTr="006A0EE9">
        <w:trPr>
          <w:trHeight w:val="285"/>
        </w:trPr>
        <w:tc>
          <w:tcPr>
            <w:tcW w:w="3079" w:type="dxa"/>
            <w:noWrap/>
            <w:tcMar>
              <w:top w:w="0" w:type="dxa"/>
              <w:left w:w="70" w:type="dxa"/>
              <w:bottom w:w="0" w:type="dxa"/>
              <w:right w:w="70" w:type="dxa"/>
            </w:tcMar>
            <w:vAlign w:val="bottom"/>
          </w:tcPr>
          <w:p w:rsidR="00802A30" w:rsidRPr="00802A30" w:rsidRDefault="00802A30" w:rsidP="00802A30">
            <w:pPr>
              <w:rPr>
                <w:lang w:val="nn-NO"/>
              </w:rPr>
            </w:pPr>
            <w:r>
              <w:rPr>
                <w:lang w:val="nn-NO"/>
              </w:rPr>
              <w:t>*</w:t>
            </w:r>
            <w:r w:rsidRPr="00802A30">
              <w:rPr>
                <w:lang w:val="nn-NO"/>
              </w:rPr>
              <w:t xml:space="preserve"> Tal på tilsette er pr. 31.12. LDO hadde ei stor nedbemanning i 2017. </w:t>
            </w:r>
            <w:r w:rsidR="003F4135">
              <w:rPr>
                <w:lang w:val="nn-NO"/>
              </w:rPr>
              <w:t xml:space="preserve">Vi hadde </w:t>
            </w:r>
            <w:r w:rsidR="00D63857" w:rsidRPr="003F4135">
              <w:rPr>
                <w:lang w:val="nn-NO"/>
              </w:rPr>
              <w:t>ansatt</w:t>
            </w:r>
            <w:r w:rsidR="003F4135">
              <w:rPr>
                <w:lang w:val="nn-NO"/>
              </w:rPr>
              <w:t>e</w:t>
            </w:r>
            <w:r w:rsidR="00D63857" w:rsidRPr="003F4135">
              <w:rPr>
                <w:lang w:val="nn-NO"/>
              </w:rPr>
              <w:t xml:space="preserve"> </w:t>
            </w:r>
            <w:r w:rsidR="00750006">
              <w:rPr>
                <w:lang w:val="nn-NO"/>
              </w:rPr>
              <w:t>i</w:t>
            </w:r>
            <w:r w:rsidR="005222F0">
              <w:rPr>
                <w:lang w:val="nn-NO"/>
              </w:rPr>
              <w:t xml:space="preserve"> oppseiing</w:t>
            </w:r>
            <w:r w:rsidR="00D63857" w:rsidRPr="003F4135">
              <w:rPr>
                <w:lang w:val="nn-NO"/>
              </w:rPr>
              <w:t xml:space="preserve"> i 2018</w:t>
            </w:r>
            <w:r w:rsidR="003F4135">
              <w:rPr>
                <w:lang w:val="nn-NO"/>
              </w:rPr>
              <w:t>.</w:t>
            </w:r>
          </w:p>
          <w:p w:rsidR="00802A30" w:rsidRPr="006202FB" w:rsidRDefault="00802A30" w:rsidP="006A0EE9"/>
        </w:tc>
        <w:tc>
          <w:tcPr>
            <w:tcW w:w="1361" w:type="dxa"/>
            <w:noWrap/>
            <w:tcMar>
              <w:top w:w="0" w:type="dxa"/>
              <w:left w:w="70" w:type="dxa"/>
              <w:bottom w:w="0" w:type="dxa"/>
              <w:right w:w="70" w:type="dxa"/>
            </w:tcMar>
            <w:vAlign w:val="bottom"/>
          </w:tcPr>
          <w:p w:rsidR="00802A30" w:rsidRPr="00255232" w:rsidRDefault="00802A30" w:rsidP="006A0EE9">
            <w:pPr>
              <w:jc w:val="right"/>
              <w:rPr>
                <w:lang w:val="nn-NO"/>
              </w:rPr>
            </w:pPr>
          </w:p>
        </w:tc>
        <w:tc>
          <w:tcPr>
            <w:tcW w:w="1400" w:type="dxa"/>
            <w:noWrap/>
            <w:tcMar>
              <w:top w:w="0" w:type="dxa"/>
              <w:left w:w="70" w:type="dxa"/>
              <w:bottom w:w="0" w:type="dxa"/>
              <w:right w:w="70" w:type="dxa"/>
            </w:tcMar>
            <w:vAlign w:val="bottom"/>
          </w:tcPr>
          <w:p w:rsidR="00802A30" w:rsidRPr="00255232" w:rsidRDefault="00802A30" w:rsidP="006A0EE9">
            <w:pPr>
              <w:jc w:val="right"/>
              <w:rPr>
                <w:lang w:val="nn-NO"/>
              </w:rPr>
            </w:pPr>
          </w:p>
        </w:tc>
        <w:tc>
          <w:tcPr>
            <w:tcW w:w="1400" w:type="dxa"/>
            <w:noWrap/>
            <w:tcMar>
              <w:top w:w="0" w:type="dxa"/>
              <w:left w:w="70" w:type="dxa"/>
              <w:bottom w:w="0" w:type="dxa"/>
              <w:right w:w="70" w:type="dxa"/>
            </w:tcMar>
            <w:vAlign w:val="bottom"/>
          </w:tcPr>
          <w:p w:rsidR="00802A30" w:rsidRPr="00255232" w:rsidRDefault="00802A30" w:rsidP="006A0EE9">
            <w:pPr>
              <w:rPr>
                <w:lang w:val="nn-NO"/>
              </w:rPr>
            </w:pPr>
          </w:p>
        </w:tc>
      </w:tr>
    </w:tbl>
    <w:p w:rsidR="00650938" w:rsidRPr="002E3F8A" w:rsidRDefault="00D1716E" w:rsidP="002E3F8A">
      <w:pPr>
        <w:pStyle w:val="Overskrift1"/>
        <w:rPr>
          <w:lang w:val="nb-NO"/>
        </w:rPr>
      </w:pPr>
      <w:bookmarkStart w:id="3" w:name="_Toc34915952"/>
      <w:r>
        <w:rPr>
          <w:lang w:val="nb-NO"/>
        </w:rPr>
        <w:lastRenderedPageBreak/>
        <w:t>Aktiviteta</w:t>
      </w:r>
      <w:r w:rsidR="00650938" w:rsidRPr="002E3F8A">
        <w:rPr>
          <w:lang w:val="nb-NO"/>
        </w:rPr>
        <w:t>r og resultat i 2019</w:t>
      </w:r>
      <w:bookmarkEnd w:id="3"/>
    </w:p>
    <w:p w:rsidR="00650938" w:rsidRDefault="00650938" w:rsidP="00650938">
      <w:pPr>
        <w:rPr>
          <w:lang w:val="nn-NO"/>
        </w:rPr>
      </w:pPr>
      <w:r w:rsidRPr="00675F49">
        <w:rPr>
          <w:lang w:val="nn-NO"/>
        </w:rPr>
        <w:t>Aktivitet</w:t>
      </w:r>
      <w:r w:rsidR="003D007A">
        <w:rPr>
          <w:lang w:val="nn-NO"/>
        </w:rPr>
        <w:t>ane</w:t>
      </w:r>
      <w:r w:rsidRPr="00675F49">
        <w:rPr>
          <w:lang w:val="nn-NO"/>
        </w:rPr>
        <w:t xml:space="preserve"> i 2019 har vore basert på LDO sin strategi for 201</w:t>
      </w:r>
      <w:r w:rsidR="001B415E" w:rsidRPr="00675F49">
        <w:rPr>
          <w:lang w:val="nn-NO"/>
        </w:rPr>
        <w:t>7</w:t>
      </w:r>
      <w:r w:rsidRPr="002A6BA7">
        <w:rPr>
          <w:lang w:val="nn-NO"/>
        </w:rPr>
        <w:t>-2022</w:t>
      </w:r>
      <w:r w:rsidRPr="00675F49">
        <w:rPr>
          <w:lang w:val="nn-NO"/>
        </w:rPr>
        <w:t xml:space="preserve"> og </w:t>
      </w:r>
      <w:r w:rsidR="000049C9">
        <w:rPr>
          <w:lang w:val="nn-NO"/>
        </w:rPr>
        <w:t>fastse</w:t>
      </w:r>
      <w:r w:rsidR="00D63A32" w:rsidRPr="00675F49">
        <w:rPr>
          <w:lang w:val="nn-NO"/>
        </w:rPr>
        <w:t xml:space="preserve">tt </w:t>
      </w:r>
      <w:r w:rsidRPr="00675F49">
        <w:rPr>
          <w:lang w:val="nn-NO"/>
        </w:rPr>
        <w:t xml:space="preserve">aktivitetsplan for 2019. Hovudsatsingsområda for ombodet er innanfor arbeidsliv, skule og utdanning, vald i nære relasjonar, overgrep og seksuell trakassering, helse, bruk av tvang, hatkriminalitet og hatefulle ytringar. </w:t>
      </w:r>
      <w:r>
        <w:rPr>
          <w:lang w:val="nn-NO"/>
        </w:rPr>
        <w:t>Innanfor</w:t>
      </w:r>
      <w:r w:rsidRPr="006202FB">
        <w:rPr>
          <w:lang w:val="nn-NO"/>
        </w:rPr>
        <w:t xml:space="preserve"> hovudsatsingsområda er </w:t>
      </w:r>
      <w:r>
        <w:rPr>
          <w:lang w:val="nn-NO"/>
        </w:rPr>
        <w:t>det oppstilt klare utfordringar</w:t>
      </w:r>
      <w:r w:rsidRPr="006202FB">
        <w:rPr>
          <w:lang w:val="nn-NO"/>
        </w:rPr>
        <w:t xml:space="preserve"> og delmål på vegen for å møte </w:t>
      </w:r>
      <w:r>
        <w:rPr>
          <w:lang w:val="nn-NO"/>
        </w:rPr>
        <w:t>desse</w:t>
      </w:r>
      <w:r w:rsidRPr="006202FB">
        <w:rPr>
          <w:lang w:val="nn-NO"/>
        </w:rPr>
        <w:t>. Rapport</w:t>
      </w:r>
      <w:r>
        <w:rPr>
          <w:lang w:val="nn-NO"/>
        </w:rPr>
        <w:t>a</w:t>
      </w:r>
      <w:r w:rsidRPr="006202FB">
        <w:rPr>
          <w:lang w:val="nn-NO"/>
        </w:rPr>
        <w:t xml:space="preserve">r om tilstand og aktiv bruk av LDO sitt tilsynsansvar med sentrale FN-konvensjonar </w:t>
      </w:r>
      <w:r>
        <w:rPr>
          <w:lang w:val="nn-NO"/>
        </w:rPr>
        <w:t>innanfor</w:t>
      </w:r>
      <w:r w:rsidRPr="006202FB">
        <w:rPr>
          <w:lang w:val="nn-NO"/>
        </w:rPr>
        <w:t xml:space="preserve"> vårt mandat, </w:t>
      </w:r>
      <w:r>
        <w:rPr>
          <w:lang w:val="nn-NO"/>
        </w:rPr>
        <w:t xml:space="preserve">er </w:t>
      </w:r>
      <w:r w:rsidR="0096619B">
        <w:rPr>
          <w:lang w:val="nn-NO"/>
        </w:rPr>
        <w:t>fra</w:t>
      </w:r>
      <w:r>
        <w:rPr>
          <w:lang w:val="nn-NO"/>
        </w:rPr>
        <w:t xml:space="preserve">mleis </w:t>
      </w:r>
      <w:r w:rsidRPr="006202FB">
        <w:rPr>
          <w:lang w:val="nn-NO"/>
        </w:rPr>
        <w:t>sentralt i vårt arbeid</w:t>
      </w:r>
      <w:r>
        <w:rPr>
          <w:lang w:val="nn-NO"/>
        </w:rPr>
        <w:t>. Strategien finn</w:t>
      </w:r>
      <w:r w:rsidRPr="006202FB">
        <w:rPr>
          <w:lang w:val="nn-NO"/>
        </w:rPr>
        <w:t xml:space="preserve"> du på vår heimeside www.ldo.no. </w:t>
      </w:r>
    </w:p>
    <w:p w:rsidR="00D63857" w:rsidRPr="006202FB" w:rsidRDefault="00D63857" w:rsidP="00650938">
      <w:pPr>
        <w:rPr>
          <w:lang w:val="nn-NO"/>
        </w:rPr>
      </w:pPr>
    </w:p>
    <w:p w:rsidR="00650938" w:rsidRPr="006202FB" w:rsidRDefault="00650938" w:rsidP="00650938">
      <w:pPr>
        <w:pStyle w:val="Overskrift2"/>
      </w:pPr>
      <w:bookmarkStart w:id="4" w:name="_Toc34915953"/>
      <w:r w:rsidRPr="006202FB">
        <w:t>Relevant og god hjelp til mange</w:t>
      </w:r>
      <w:bookmarkEnd w:id="4"/>
    </w:p>
    <w:p w:rsidR="00D63857" w:rsidRPr="005D1C03" w:rsidRDefault="00D63857" w:rsidP="00D63857">
      <w:pPr>
        <w:rPr>
          <w:lang w:val="nn-NO"/>
        </w:rPr>
      </w:pPr>
      <w:r w:rsidRPr="005D1C03">
        <w:rPr>
          <w:lang w:val="nn-NO"/>
        </w:rPr>
        <w:t>Likestillings- og diskrimineringsombodet gje</w:t>
      </w:r>
      <w:r>
        <w:rPr>
          <w:lang w:val="nn-NO"/>
        </w:rPr>
        <w:t>r</w:t>
      </w:r>
      <w:r w:rsidRPr="005D1C03">
        <w:rPr>
          <w:lang w:val="nn-NO"/>
        </w:rPr>
        <w:t xml:space="preserve"> rettleiing om likestillings- og diskrimineringsspørsmål til enkeltpersonar i og utanfor arbeidslivet, arbeidsgjevarar, tillitsvalde og</w:t>
      </w:r>
      <w:r w:rsidR="003D007A">
        <w:rPr>
          <w:lang w:val="nn-NO"/>
        </w:rPr>
        <w:t xml:space="preserve"> andre som treng råd og rettleiing. </w:t>
      </w:r>
      <w:r w:rsidRPr="005D1C03">
        <w:rPr>
          <w:lang w:val="nn-NO"/>
        </w:rPr>
        <w:t xml:space="preserve">Ombodet har ei eiga rettleiingsteneste der ein kan kontakte oss på telefon eller skriftleg. </w:t>
      </w:r>
    </w:p>
    <w:p w:rsidR="00D63857" w:rsidRDefault="00F01E54" w:rsidP="00F01E54">
      <w:pPr>
        <w:rPr>
          <w:lang w:val="nn-NO"/>
        </w:rPr>
      </w:pPr>
      <w:r>
        <w:rPr>
          <w:lang w:val="nn-NO"/>
        </w:rPr>
        <w:t xml:space="preserve">Målsettinga er å gje </w:t>
      </w:r>
      <w:r w:rsidRPr="00386140">
        <w:rPr>
          <w:lang w:val="nn-NO"/>
        </w:rPr>
        <w:t xml:space="preserve">god, effektiv og relevant hjelp. </w:t>
      </w:r>
      <w:r w:rsidRPr="005D1C03">
        <w:rPr>
          <w:lang w:val="nn-NO"/>
        </w:rPr>
        <w:t>Vidare viser vi til Diskrimineringsnemnda og rettleiar om korleis ein kan fremje ei sak dit.</w:t>
      </w:r>
    </w:p>
    <w:p w:rsidR="00D63857" w:rsidRPr="005D1C03" w:rsidRDefault="00D63857" w:rsidP="00D63857">
      <w:pPr>
        <w:rPr>
          <w:lang w:val="nn-NO"/>
        </w:rPr>
      </w:pPr>
      <w:r w:rsidRPr="005D1C03">
        <w:rPr>
          <w:lang w:val="nn-NO"/>
        </w:rPr>
        <w:t xml:space="preserve">Det er </w:t>
      </w:r>
      <w:r w:rsidR="00DC0EBD">
        <w:rPr>
          <w:lang w:val="nn-NO"/>
        </w:rPr>
        <w:t>fra</w:t>
      </w:r>
      <w:r w:rsidRPr="005D1C03">
        <w:rPr>
          <w:lang w:val="nn-NO"/>
        </w:rPr>
        <w:t>mleis flest som kontaktar oss med spørsmål frå arbeidslivet, og dei fleste kontaktar oss om diskrimineringsspørsmål på grunn av kjønn. Dei fleste av desse førespurnadene handlar om graviditet og foreldrepermisjon. Mange tek også kontakt med oss med spørsmål om diskriminering på grunn av nedsett funksjonsevne.</w:t>
      </w:r>
    </w:p>
    <w:p w:rsidR="00D63857" w:rsidRDefault="00D63857" w:rsidP="00F01E54">
      <w:pPr>
        <w:rPr>
          <w:lang w:val="nn-NO"/>
        </w:rPr>
      </w:pPr>
      <w:r w:rsidRPr="005D1C03">
        <w:rPr>
          <w:lang w:val="nn-NO"/>
        </w:rPr>
        <w:t xml:space="preserve">I 2019 vart rettleiingstenesta kontakta </w:t>
      </w:r>
      <w:r>
        <w:rPr>
          <w:lang w:val="nn-NO"/>
        </w:rPr>
        <w:t>1988</w:t>
      </w:r>
      <w:r w:rsidRPr="005D1C03">
        <w:rPr>
          <w:lang w:val="nn-NO"/>
        </w:rPr>
        <w:t xml:space="preserve"> gong</w:t>
      </w:r>
      <w:r w:rsidR="00DC0EBD">
        <w:rPr>
          <w:lang w:val="nn-NO"/>
        </w:rPr>
        <w:t>a</w:t>
      </w:r>
      <w:r w:rsidRPr="005D1C03">
        <w:rPr>
          <w:lang w:val="nn-NO"/>
        </w:rPr>
        <w:t xml:space="preserve">r av enkeltpersonar som </w:t>
      </w:r>
      <w:r w:rsidR="00DC0EBD">
        <w:rPr>
          <w:lang w:val="nn-NO"/>
        </w:rPr>
        <w:t>e</w:t>
      </w:r>
      <w:r w:rsidRPr="005D1C03">
        <w:rPr>
          <w:lang w:val="nn-NO"/>
        </w:rPr>
        <w:t xml:space="preserve">nten fekk munnleg eller skriftleg rettleiing. Tala er stabile, sjå tabell frå </w:t>
      </w:r>
      <w:r>
        <w:rPr>
          <w:lang w:val="nn-NO"/>
        </w:rPr>
        <w:t xml:space="preserve">både </w:t>
      </w:r>
      <w:r w:rsidRPr="005D1C03">
        <w:rPr>
          <w:lang w:val="nn-NO"/>
        </w:rPr>
        <w:t>201</w:t>
      </w:r>
      <w:r>
        <w:rPr>
          <w:lang w:val="nn-NO"/>
        </w:rPr>
        <w:t xml:space="preserve">7, </w:t>
      </w:r>
      <w:r w:rsidRPr="005D1C03">
        <w:rPr>
          <w:lang w:val="nn-NO"/>
        </w:rPr>
        <w:t>2018</w:t>
      </w:r>
      <w:r>
        <w:rPr>
          <w:lang w:val="nn-NO"/>
        </w:rPr>
        <w:t xml:space="preserve"> og 2019</w:t>
      </w:r>
      <w:r w:rsidRPr="005D1C03">
        <w:rPr>
          <w:lang w:val="nn-NO"/>
        </w:rPr>
        <w:t xml:space="preserve">. </w:t>
      </w:r>
    </w:p>
    <w:p w:rsidR="00F01E54" w:rsidRDefault="00650938" w:rsidP="00650938">
      <w:pPr>
        <w:rPr>
          <w:lang w:val="nn-NO"/>
        </w:rPr>
      </w:pPr>
      <w:r>
        <w:rPr>
          <w:lang w:val="nn-NO"/>
        </w:rPr>
        <w:t>Stortinget vedtok i juni 2019 ei endring av likestillings- og diskrimineringslova om ei ny aktivitet</w:t>
      </w:r>
      <w:r w:rsidR="000440C0">
        <w:rPr>
          <w:lang w:val="nn-NO"/>
        </w:rPr>
        <w:t>s- og utgreiings</w:t>
      </w:r>
      <w:r>
        <w:rPr>
          <w:lang w:val="nn-NO"/>
        </w:rPr>
        <w:t xml:space="preserve">plikt i arbeidslivet. </w:t>
      </w:r>
      <w:r w:rsidR="00460F64">
        <w:rPr>
          <w:lang w:val="nn-NO"/>
        </w:rPr>
        <w:t>Det</w:t>
      </w:r>
      <w:r w:rsidR="00767DE3">
        <w:rPr>
          <w:lang w:val="nn-NO"/>
        </w:rPr>
        <w:t xml:space="preserve"> følger av lova</w:t>
      </w:r>
      <w:r w:rsidR="00460F64">
        <w:rPr>
          <w:lang w:val="nn-NO"/>
        </w:rPr>
        <w:t xml:space="preserve"> at ombodet blant anna skal rettleie om dei nye pliktane. </w:t>
      </w:r>
      <w:r>
        <w:rPr>
          <w:lang w:val="nn-NO"/>
        </w:rPr>
        <w:t xml:space="preserve">Lovendringa trer i kraft frå januar 2020, men ombodet starta i 2019 det strategiske arbeidet for å førebu seg for dei nye oppgåvene.  </w:t>
      </w:r>
    </w:p>
    <w:p w:rsidR="00F01E54" w:rsidRDefault="00F01E54" w:rsidP="00650938">
      <w:pPr>
        <w:rPr>
          <w:b/>
          <w:lang w:val="nn-NO"/>
        </w:rPr>
      </w:pPr>
    </w:p>
    <w:p w:rsidR="00DC4FF1" w:rsidRDefault="00DC4FF1">
      <w:pPr>
        <w:spacing w:before="0" w:after="160" w:line="259" w:lineRule="auto"/>
        <w:rPr>
          <w:b/>
          <w:lang w:val="nn-NO"/>
        </w:rPr>
      </w:pPr>
      <w:r>
        <w:rPr>
          <w:b/>
          <w:lang w:val="nn-NO"/>
        </w:rPr>
        <w:br w:type="page"/>
      </w:r>
    </w:p>
    <w:p w:rsidR="00650938" w:rsidRPr="00813709" w:rsidRDefault="00650938" w:rsidP="00650938">
      <w:pPr>
        <w:rPr>
          <w:b/>
          <w:lang w:val="nn-NO"/>
        </w:rPr>
      </w:pPr>
      <w:r w:rsidRPr="00813709">
        <w:rPr>
          <w:b/>
          <w:lang w:val="nn-NO"/>
        </w:rPr>
        <w:lastRenderedPageBreak/>
        <w:t>Saker fordelt på samfunnsområde</w:t>
      </w:r>
    </w:p>
    <w:tbl>
      <w:tblPr>
        <w:tblW w:w="6160" w:type="dxa"/>
        <w:tblCellMar>
          <w:left w:w="0" w:type="dxa"/>
          <w:right w:w="0" w:type="dxa"/>
        </w:tblCellMar>
        <w:tblLook w:val="04A0" w:firstRow="1" w:lastRow="0" w:firstColumn="1" w:lastColumn="0" w:noHBand="0" w:noVBand="1"/>
      </w:tblPr>
      <w:tblGrid>
        <w:gridCol w:w="2200"/>
        <w:gridCol w:w="1960"/>
        <w:gridCol w:w="620"/>
        <w:gridCol w:w="620"/>
        <w:gridCol w:w="1114"/>
      </w:tblGrid>
      <w:tr w:rsidR="00650938" w:rsidRPr="00813709" w:rsidTr="006A0EE9">
        <w:trPr>
          <w:trHeight w:val="300"/>
        </w:trPr>
        <w:tc>
          <w:tcPr>
            <w:tcW w:w="220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rPr>
                <w:rFonts w:eastAsia="Calibri"/>
                <w:b/>
                <w:bCs/>
                <w:color w:val="000000"/>
                <w:lang w:val="nn-NO"/>
              </w:rPr>
            </w:pPr>
            <w:r w:rsidRPr="00813709">
              <w:rPr>
                <w:rFonts w:eastAsia="Calibri"/>
                <w:b/>
                <w:bCs/>
                <w:color w:val="000000"/>
                <w:lang w:val="nn-NO"/>
              </w:rPr>
              <w:t>Område</w:t>
            </w:r>
          </w:p>
        </w:tc>
        <w:tc>
          <w:tcPr>
            <w:tcW w:w="196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2017</w:t>
            </w:r>
          </w:p>
        </w:tc>
        <w:tc>
          <w:tcPr>
            <w:tcW w:w="52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2018</w:t>
            </w:r>
          </w:p>
        </w:tc>
        <w:tc>
          <w:tcPr>
            <w:tcW w:w="52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2019</w:t>
            </w:r>
          </w:p>
        </w:tc>
        <w:tc>
          <w:tcPr>
            <w:tcW w:w="96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rPr>
                <w:rFonts w:eastAsia="Calibri"/>
                <w:b/>
                <w:bCs/>
                <w:color w:val="000000"/>
                <w:lang w:val="nn-NO"/>
              </w:rPr>
            </w:pPr>
            <w:r w:rsidRPr="00813709">
              <w:rPr>
                <w:rFonts w:eastAsia="Calibri"/>
                <w:b/>
                <w:bCs/>
                <w:color w:val="000000"/>
                <w:lang w:val="nn-NO"/>
              </w:rPr>
              <w:t>Totalsum</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Anna</w:t>
            </w:r>
            <w:r w:rsidR="00DC4FF1">
              <w:rPr>
                <w:rFonts w:eastAsia="Calibri"/>
                <w:color w:val="000000"/>
                <w:lang w:val="nn-NO"/>
              </w:rPr>
              <w:t>*</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186</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191</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297</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674</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Arbeidsliv</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1081</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1099</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1004</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3184</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AA213A" w:rsidP="006A0EE9">
            <w:pPr>
              <w:spacing w:after="0"/>
              <w:rPr>
                <w:rFonts w:eastAsia="Calibri"/>
                <w:color w:val="000000"/>
                <w:lang w:val="nn-NO"/>
              </w:rPr>
            </w:pPr>
            <w:r>
              <w:rPr>
                <w:rFonts w:eastAsia="Calibri"/>
                <w:color w:val="000000"/>
                <w:lang w:val="nn-NO"/>
              </w:rPr>
              <w:t>Bustad</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79</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85</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73</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237</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34278F" w:rsidP="006A0EE9">
            <w:pPr>
              <w:spacing w:after="0"/>
              <w:rPr>
                <w:rFonts w:eastAsia="Calibri"/>
                <w:color w:val="000000"/>
                <w:lang w:val="nn-NO"/>
              </w:rPr>
            </w:pPr>
            <w:r>
              <w:rPr>
                <w:rFonts w:eastAsia="Calibri"/>
                <w:color w:val="000000"/>
                <w:lang w:val="nn-NO"/>
              </w:rPr>
              <w:t>Offentle</w:t>
            </w:r>
            <w:r w:rsidR="00650938" w:rsidRPr="00813709">
              <w:rPr>
                <w:rFonts w:eastAsia="Calibri"/>
                <w:color w:val="000000"/>
                <w:lang w:val="nn-NO"/>
              </w:rPr>
              <w:t>g forvaltning</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231</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217</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205</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653</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Politi, rettsvesen mv.</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27</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26</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25</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78</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Utdanning</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132</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148</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128</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408</w:t>
            </w:r>
          </w:p>
        </w:tc>
      </w:tr>
      <w:tr w:rsidR="00650938" w:rsidRPr="00813709" w:rsidTr="006A0EE9">
        <w:trPr>
          <w:trHeight w:val="300"/>
        </w:trPr>
        <w:tc>
          <w:tcPr>
            <w:tcW w:w="22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Varer og tenester</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274</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267</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256</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797</w:t>
            </w:r>
          </w:p>
        </w:tc>
      </w:tr>
      <w:tr w:rsidR="00650938" w:rsidRPr="00813709" w:rsidTr="006A0EE9">
        <w:trPr>
          <w:trHeight w:val="300"/>
        </w:trPr>
        <w:tc>
          <w:tcPr>
            <w:tcW w:w="220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rPr>
                <w:rFonts w:eastAsia="Calibri"/>
                <w:b/>
                <w:bCs/>
                <w:color w:val="000000"/>
                <w:lang w:val="nn-NO"/>
              </w:rPr>
            </w:pPr>
            <w:r w:rsidRPr="00813709">
              <w:rPr>
                <w:rFonts w:eastAsia="Calibri"/>
                <w:b/>
                <w:bCs/>
                <w:color w:val="000000"/>
                <w:lang w:val="nn-NO"/>
              </w:rPr>
              <w:t>Totalsum</w:t>
            </w:r>
          </w:p>
        </w:tc>
        <w:tc>
          <w:tcPr>
            <w:tcW w:w="196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2010</w:t>
            </w:r>
          </w:p>
        </w:tc>
        <w:tc>
          <w:tcPr>
            <w:tcW w:w="52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2033</w:t>
            </w:r>
          </w:p>
        </w:tc>
        <w:tc>
          <w:tcPr>
            <w:tcW w:w="52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1988</w:t>
            </w:r>
          </w:p>
        </w:tc>
        <w:tc>
          <w:tcPr>
            <w:tcW w:w="96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6031</w:t>
            </w:r>
          </w:p>
        </w:tc>
      </w:tr>
    </w:tbl>
    <w:p w:rsidR="00650938" w:rsidRDefault="00650938" w:rsidP="00650938">
      <w:pPr>
        <w:rPr>
          <w:lang w:val="nn-NO"/>
        </w:rPr>
      </w:pPr>
    </w:p>
    <w:p w:rsidR="00DC4FF1" w:rsidRDefault="00DC4FF1" w:rsidP="00650938">
      <w:pPr>
        <w:rPr>
          <w:lang w:val="nn-NO"/>
        </w:rPr>
      </w:pPr>
    </w:p>
    <w:p w:rsidR="00650938" w:rsidRDefault="00650938" w:rsidP="00650938">
      <w:pPr>
        <w:rPr>
          <w:lang w:val="nn-NO"/>
        </w:rPr>
      </w:pPr>
    </w:p>
    <w:p w:rsidR="00650938" w:rsidRPr="00813709" w:rsidRDefault="00650938" w:rsidP="00650938">
      <w:pPr>
        <w:rPr>
          <w:b/>
          <w:lang w:val="nn-NO"/>
        </w:rPr>
      </w:pPr>
      <w:r w:rsidRPr="00813709">
        <w:rPr>
          <w:b/>
          <w:lang w:val="nn-NO"/>
        </w:rPr>
        <w:t>Saker fordelt på diskrimineringsgrunnlag</w:t>
      </w:r>
    </w:p>
    <w:tbl>
      <w:tblPr>
        <w:tblW w:w="7060" w:type="dxa"/>
        <w:tblCellMar>
          <w:left w:w="0" w:type="dxa"/>
          <w:right w:w="0" w:type="dxa"/>
        </w:tblCellMar>
        <w:tblLook w:val="04A0" w:firstRow="1" w:lastRow="0" w:firstColumn="1" w:lastColumn="0" w:noHBand="0" w:noVBand="1"/>
      </w:tblPr>
      <w:tblGrid>
        <w:gridCol w:w="3100"/>
        <w:gridCol w:w="1960"/>
        <w:gridCol w:w="620"/>
        <w:gridCol w:w="620"/>
        <w:gridCol w:w="1114"/>
      </w:tblGrid>
      <w:tr w:rsidR="00650938" w:rsidRPr="00813709" w:rsidTr="006A0EE9">
        <w:trPr>
          <w:trHeight w:val="300"/>
        </w:trPr>
        <w:tc>
          <w:tcPr>
            <w:tcW w:w="310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rPr>
                <w:rFonts w:eastAsia="Calibri"/>
                <w:b/>
                <w:bCs/>
                <w:color w:val="000000"/>
                <w:lang w:val="nn-NO"/>
              </w:rPr>
            </w:pPr>
            <w:r w:rsidRPr="00813709">
              <w:rPr>
                <w:rFonts w:eastAsia="Calibri"/>
                <w:b/>
                <w:bCs/>
                <w:color w:val="000000"/>
                <w:lang w:val="nn-NO"/>
              </w:rPr>
              <w:t>Grunnlag</w:t>
            </w:r>
          </w:p>
        </w:tc>
        <w:tc>
          <w:tcPr>
            <w:tcW w:w="196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2017</w:t>
            </w:r>
          </w:p>
        </w:tc>
        <w:tc>
          <w:tcPr>
            <w:tcW w:w="52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2018</w:t>
            </w:r>
          </w:p>
        </w:tc>
        <w:tc>
          <w:tcPr>
            <w:tcW w:w="52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2019</w:t>
            </w:r>
          </w:p>
        </w:tc>
        <w:tc>
          <w:tcPr>
            <w:tcW w:w="96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rPr>
                <w:rFonts w:eastAsia="Calibri"/>
                <w:b/>
                <w:bCs/>
                <w:color w:val="000000"/>
                <w:lang w:val="nn-NO"/>
              </w:rPr>
            </w:pPr>
            <w:r w:rsidRPr="00813709">
              <w:rPr>
                <w:rFonts w:eastAsia="Calibri"/>
                <w:b/>
                <w:bCs/>
                <w:color w:val="000000"/>
                <w:lang w:val="nn-NO"/>
              </w:rPr>
              <w:t>Totalsum</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Alder</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79</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86</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108</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273</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Anna</w:t>
            </w:r>
            <w:r w:rsidR="00DC4FF1">
              <w:rPr>
                <w:rFonts w:eastAsia="Calibri"/>
                <w:color w:val="000000"/>
                <w:lang w:val="nn-NO"/>
              </w:rPr>
              <w:t>*</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232</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330</w:t>
            </w:r>
          </w:p>
        </w:tc>
        <w:tc>
          <w:tcPr>
            <w:tcW w:w="520" w:type="dxa"/>
            <w:noWrap/>
            <w:tcMar>
              <w:top w:w="0" w:type="dxa"/>
              <w:left w:w="70" w:type="dxa"/>
              <w:bottom w:w="0" w:type="dxa"/>
              <w:right w:w="70" w:type="dxa"/>
            </w:tcMar>
            <w:vAlign w:val="bottom"/>
            <w:hideMark/>
          </w:tcPr>
          <w:p w:rsidR="00650938" w:rsidRPr="00813709" w:rsidRDefault="00650938" w:rsidP="00B22038">
            <w:pPr>
              <w:spacing w:after="0"/>
              <w:jc w:val="right"/>
              <w:rPr>
                <w:rFonts w:eastAsia="Calibri"/>
                <w:color w:val="000000"/>
                <w:lang w:val="nn-NO"/>
              </w:rPr>
            </w:pPr>
            <w:r w:rsidRPr="00813709">
              <w:rPr>
                <w:rFonts w:eastAsia="Calibri"/>
                <w:color w:val="000000"/>
                <w:lang w:val="nn-NO"/>
              </w:rPr>
              <w:t>36</w:t>
            </w:r>
            <w:r w:rsidR="00B22038">
              <w:rPr>
                <w:rFonts w:eastAsia="Calibri"/>
                <w:color w:val="000000"/>
                <w:lang w:val="nn-NO"/>
              </w:rPr>
              <w:t>6</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927</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Etnisitet mv.</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187</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206</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170</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563</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Fleire</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181</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152</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127</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460</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Graviditet og foreldrepermisjon</w:t>
            </w:r>
          </w:p>
        </w:tc>
        <w:tc>
          <w:tcPr>
            <w:tcW w:w="196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338</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256</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594</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Kjønn</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702</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379</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345</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1426</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Kjønnsidentitet/-uttrykk</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38</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24</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30</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92</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Nedsett funksjonsevne</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403</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379</w:t>
            </w:r>
          </w:p>
        </w:tc>
        <w:tc>
          <w:tcPr>
            <w:tcW w:w="520" w:type="dxa"/>
            <w:noWrap/>
            <w:tcMar>
              <w:top w:w="0" w:type="dxa"/>
              <w:left w:w="70" w:type="dxa"/>
              <w:bottom w:w="0" w:type="dxa"/>
              <w:right w:w="70" w:type="dxa"/>
            </w:tcMar>
            <w:vAlign w:val="bottom"/>
            <w:hideMark/>
          </w:tcPr>
          <w:p w:rsidR="00650938" w:rsidRPr="00813709" w:rsidRDefault="00650938" w:rsidP="00B22038">
            <w:pPr>
              <w:spacing w:after="0"/>
              <w:jc w:val="right"/>
              <w:rPr>
                <w:rFonts w:eastAsia="Calibri"/>
                <w:color w:val="000000"/>
                <w:lang w:val="nn-NO"/>
              </w:rPr>
            </w:pPr>
            <w:r w:rsidRPr="00813709">
              <w:rPr>
                <w:rFonts w:eastAsia="Calibri"/>
                <w:color w:val="000000"/>
                <w:lang w:val="nn-NO"/>
              </w:rPr>
              <w:t>47</w:t>
            </w:r>
            <w:r w:rsidR="00B22038">
              <w:rPr>
                <w:rFonts w:eastAsia="Calibri"/>
                <w:color w:val="000000"/>
                <w:lang w:val="nn-NO"/>
              </w:rPr>
              <w:t>2</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1255</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3E118E" w:rsidP="006A0EE9">
            <w:pPr>
              <w:spacing w:after="0"/>
              <w:rPr>
                <w:rFonts w:eastAsia="Calibri"/>
                <w:color w:val="000000"/>
                <w:lang w:val="nn-NO"/>
              </w:rPr>
            </w:pPr>
            <w:r>
              <w:rPr>
                <w:rFonts w:eastAsia="Calibri"/>
                <w:color w:val="000000"/>
                <w:lang w:val="nn-NO"/>
              </w:rPr>
              <w:t>Omsorgspliktar</w:t>
            </w:r>
          </w:p>
        </w:tc>
        <w:tc>
          <w:tcPr>
            <w:tcW w:w="196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21</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29</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50</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Religion</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142</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62</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37</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241</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Seksuell orientering</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16</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18</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20</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54</w:t>
            </w:r>
          </w:p>
        </w:tc>
      </w:tr>
      <w:tr w:rsidR="00650938" w:rsidRPr="00813709" w:rsidTr="006A0EE9">
        <w:trPr>
          <w:trHeight w:val="300"/>
        </w:trPr>
        <w:tc>
          <w:tcPr>
            <w:tcW w:w="3100" w:type="dxa"/>
            <w:noWrap/>
            <w:tcMar>
              <w:top w:w="0" w:type="dxa"/>
              <w:left w:w="70" w:type="dxa"/>
              <w:bottom w:w="0" w:type="dxa"/>
              <w:right w:w="70" w:type="dxa"/>
            </w:tcMar>
            <w:vAlign w:val="bottom"/>
            <w:hideMark/>
          </w:tcPr>
          <w:p w:rsidR="00650938" w:rsidRPr="00813709" w:rsidRDefault="00650938" w:rsidP="006A0EE9">
            <w:pPr>
              <w:spacing w:after="0"/>
              <w:rPr>
                <w:rFonts w:eastAsia="Calibri"/>
                <w:color w:val="000000"/>
                <w:lang w:val="nn-NO"/>
              </w:rPr>
            </w:pPr>
            <w:r w:rsidRPr="00813709">
              <w:rPr>
                <w:rFonts w:eastAsia="Calibri"/>
                <w:color w:val="000000"/>
                <w:lang w:val="nn-NO"/>
              </w:rPr>
              <w:t>Språk</w:t>
            </w:r>
          </w:p>
        </w:tc>
        <w:tc>
          <w:tcPr>
            <w:tcW w:w="1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30</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38</w:t>
            </w:r>
          </w:p>
        </w:tc>
        <w:tc>
          <w:tcPr>
            <w:tcW w:w="52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28</w:t>
            </w:r>
          </w:p>
        </w:tc>
        <w:tc>
          <w:tcPr>
            <w:tcW w:w="960" w:type="dxa"/>
            <w:noWrap/>
            <w:tcMar>
              <w:top w:w="0" w:type="dxa"/>
              <w:left w:w="70" w:type="dxa"/>
              <w:bottom w:w="0" w:type="dxa"/>
              <w:right w:w="70" w:type="dxa"/>
            </w:tcMar>
            <w:vAlign w:val="bottom"/>
            <w:hideMark/>
          </w:tcPr>
          <w:p w:rsidR="00650938" w:rsidRPr="00813709" w:rsidRDefault="00650938" w:rsidP="006A0EE9">
            <w:pPr>
              <w:spacing w:after="0"/>
              <w:jc w:val="right"/>
              <w:rPr>
                <w:rFonts w:eastAsia="Calibri"/>
                <w:color w:val="000000"/>
                <w:lang w:val="nn-NO"/>
              </w:rPr>
            </w:pPr>
            <w:r w:rsidRPr="00813709">
              <w:rPr>
                <w:rFonts w:eastAsia="Calibri"/>
                <w:color w:val="000000"/>
                <w:lang w:val="nn-NO"/>
              </w:rPr>
              <w:t>96</w:t>
            </w:r>
          </w:p>
        </w:tc>
      </w:tr>
      <w:tr w:rsidR="00650938" w:rsidRPr="00813709" w:rsidTr="006A0EE9">
        <w:trPr>
          <w:trHeight w:val="300"/>
        </w:trPr>
        <w:tc>
          <w:tcPr>
            <w:tcW w:w="310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rPr>
                <w:rFonts w:eastAsia="Calibri"/>
                <w:b/>
                <w:bCs/>
                <w:color w:val="000000"/>
                <w:lang w:val="nn-NO"/>
              </w:rPr>
            </w:pPr>
            <w:r w:rsidRPr="00813709">
              <w:rPr>
                <w:rFonts w:eastAsia="Calibri"/>
                <w:b/>
                <w:bCs/>
                <w:color w:val="000000"/>
                <w:lang w:val="nn-NO"/>
              </w:rPr>
              <w:t>Totalsum</w:t>
            </w:r>
          </w:p>
        </w:tc>
        <w:tc>
          <w:tcPr>
            <w:tcW w:w="196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2010</w:t>
            </w:r>
          </w:p>
        </w:tc>
        <w:tc>
          <w:tcPr>
            <w:tcW w:w="52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2033</w:t>
            </w:r>
          </w:p>
        </w:tc>
        <w:tc>
          <w:tcPr>
            <w:tcW w:w="52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1988</w:t>
            </w:r>
          </w:p>
        </w:tc>
        <w:tc>
          <w:tcPr>
            <w:tcW w:w="96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Pr="00813709" w:rsidRDefault="00650938" w:rsidP="006A0EE9">
            <w:pPr>
              <w:spacing w:after="0"/>
              <w:jc w:val="right"/>
              <w:rPr>
                <w:rFonts w:eastAsia="Calibri"/>
                <w:b/>
                <w:bCs/>
                <w:color w:val="000000"/>
                <w:lang w:val="nn-NO"/>
              </w:rPr>
            </w:pPr>
            <w:r w:rsidRPr="00813709">
              <w:rPr>
                <w:rFonts w:eastAsia="Calibri"/>
                <w:b/>
                <w:bCs/>
                <w:color w:val="000000"/>
                <w:lang w:val="nn-NO"/>
              </w:rPr>
              <w:t>6031</w:t>
            </w:r>
          </w:p>
        </w:tc>
      </w:tr>
    </w:tbl>
    <w:p w:rsidR="00515C06" w:rsidRPr="00B42DBC" w:rsidRDefault="00DC4FF1" w:rsidP="00515C06">
      <w:pPr>
        <w:rPr>
          <w:sz w:val="22"/>
          <w:szCs w:val="22"/>
          <w:lang w:val="nn-NO"/>
        </w:rPr>
      </w:pPr>
      <w:r w:rsidRPr="002A6BA7">
        <w:rPr>
          <w:lang w:val="nn-NO"/>
        </w:rPr>
        <w:t xml:space="preserve">* </w:t>
      </w:r>
      <w:r w:rsidR="002A6BA7">
        <w:rPr>
          <w:lang w:val="nn-NO"/>
        </w:rPr>
        <w:t xml:space="preserve">Grunnlag </w:t>
      </w:r>
      <w:r w:rsidRPr="002A6BA7">
        <w:rPr>
          <w:lang w:val="nn-NO"/>
        </w:rPr>
        <w:t>«Anna» -</w:t>
      </w:r>
      <w:r w:rsidR="00515C06" w:rsidRPr="002A6BA7">
        <w:rPr>
          <w:lang w:val="nn-NO"/>
        </w:rPr>
        <w:t xml:space="preserve"> her registreres </w:t>
      </w:r>
      <w:r w:rsidR="00B22038" w:rsidRPr="002A6BA7">
        <w:rPr>
          <w:lang w:val="nn-NO"/>
        </w:rPr>
        <w:t xml:space="preserve">mellom anna </w:t>
      </w:r>
      <w:r w:rsidR="00515C06" w:rsidRPr="002A6BA7">
        <w:rPr>
          <w:lang w:val="nn-NO"/>
        </w:rPr>
        <w:t xml:space="preserve">saker som ligg utanfor grunnlag som er omfatta av mandatet til ombodet. </w:t>
      </w:r>
      <w:r w:rsidR="00A74AF7">
        <w:rPr>
          <w:lang w:val="nn-NO"/>
        </w:rPr>
        <w:t xml:space="preserve">Vi oppdaterer stadig </w:t>
      </w:r>
      <w:r w:rsidR="00B22038" w:rsidRPr="002A6BA7">
        <w:rPr>
          <w:lang w:val="nn-NO"/>
        </w:rPr>
        <w:t>statist</w:t>
      </w:r>
      <w:r w:rsidR="00C4691F">
        <w:rPr>
          <w:lang w:val="nn-NO"/>
        </w:rPr>
        <w:t>ikk</w:t>
      </w:r>
      <w:r w:rsidR="00477933">
        <w:rPr>
          <w:lang w:val="nn-NO"/>
        </w:rPr>
        <w:t>e</w:t>
      </w:r>
      <w:r w:rsidR="00B22038" w:rsidRPr="002A6BA7">
        <w:rPr>
          <w:lang w:val="nn-NO"/>
        </w:rPr>
        <w:t>n vår, inkludert riktig registrering av saker.</w:t>
      </w:r>
      <w:r w:rsidR="00FA534C" w:rsidRPr="002A6BA7">
        <w:rPr>
          <w:lang w:val="nn-NO"/>
        </w:rPr>
        <w:t xml:space="preserve"> Antal saker registrert som «Anna» blir gradvis færre etter som vi fortløp</w:t>
      </w:r>
      <w:r w:rsidR="00477FB8">
        <w:rPr>
          <w:lang w:val="nn-NO"/>
        </w:rPr>
        <w:t>a</w:t>
      </w:r>
      <w:r w:rsidR="00FA534C" w:rsidRPr="002A6BA7">
        <w:rPr>
          <w:lang w:val="nn-NO"/>
        </w:rPr>
        <w:t>nde går gjennom gamle saker.</w:t>
      </w:r>
      <w:r w:rsidR="00FA534C" w:rsidRPr="00B42DBC">
        <w:rPr>
          <w:lang w:val="nn-NO"/>
        </w:rPr>
        <w:t xml:space="preserve"> </w:t>
      </w:r>
    </w:p>
    <w:p w:rsidR="00515C06" w:rsidRPr="00B42DBC" w:rsidRDefault="00515C06" w:rsidP="00515C06">
      <w:pPr>
        <w:rPr>
          <w:lang w:val="nn-NO"/>
        </w:rPr>
      </w:pPr>
    </w:p>
    <w:p w:rsidR="00B22038" w:rsidRPr="00B42DBC" w:rsidRDefault="00B22038" w:rsidP="00515C06">
      <w:pPr>
        <w:rPr>
          <w:lang w:val="nn-NO"/>
        </w:rPr>
      </w:pPr>
    </w:p>
    <w:p w:rsidR="00650938" w:rsidRPr="00B42DBC" w:rsidRDefault="00650938" w:rsidP="00650938">
      <w:pPr>
        <w:rPr>
          <w:b/>
          <w:lang w:val="nn-NO"/>
        </w:rPr>
      </w:pPr>
    </w:p>
    <w:p w:rsidR="00650938" w:rsidRPr="00B42DBC" w:rsidRDefault="00650938" w:rsidP="00650938">
      <w:pPr>
        <w:pStyle w:val="Overskrift3"/>
      </w:pPr>
      <w:r w:rsidRPr="00B42DBC">
        <w:lastRenderedPageBreak/>
        <w:t xml:space="preserve">Låg terskel for å kontakte ombodet </w:t>
      </w:r>
    </w:p>
    <w:p w:rsidR="00650938" w:rsidRDefault="00650938" w:rsidP="00650938">
      <w:pPr>
        <w:rPr>
          <w:lang w:val="nn-NO"/>
        </w:rPr>
      </w:pPr>
      <w:r w:rsidRPr="005D1C03">
        <w:rPr>
          <w:lang w:val="nn-NO"/>
        </w:rPr>
        <w:t xml:space="preserve">Folk </w:t>
      </w:r>
      <w:r>
        <w:rPr>
          <w:lang w:val="nn-NO"/>
        </w:rPr>
        <w:t xml:space="preserve">kan </w:t>
      </w:r>
      <w:r w:rsidRPr="005D1C03">
        <w:rPr>
          <w:lang w:val="nn-NO"/>
        </w:rPr>
        <w:t xml:space="preserve">ta kontakt med oss gjennom </w:t>
      </w:r>
      <w:r>
        <w:rPr>
          <w:lang w:val="nn-NO"/>
        </w:rPr>
        <w:t>fleire</w:t>
      </w:r>
      <w:r w:rsidRPr="005D1C03">
        <w:rPr>
          <w:lang w:val="nn-NO"/>
        </w:rPr>
        <w:t xml:space="preserve"> kanalar. Vi gjev rettleiing per brev, s</w:t>
      </w:r>
      <w:r w:rsidR="00807E79">
        <w:rPr>
          <w:lang w:val="nn-NO"/>
        </w:rPr>
        <w:t>ikk</w:t>
      </w:r>
      <w:r w:rsidR="00477933">
        <w:rPr>
          <w:lang w:val="nn-NO"/>
        </w:rPr>
        <w:t>e</w:t>
      </w:r>
      <w:r w:rsidRPr="005D1C03">
        <w:rPr>
          <w:lang w:val="nn-NO"/>
        </w:rPr>
        <w:t xml:space="preserve">r digital postkasse og telefon. I tillegg brukar </w:t>
      </w:r>
      <w:r>
        <w:rPr>
          <w:lang w:val="nn-NO"/>
        </w:rPr>
        <w:t xml:space="preserve">vi </w:t>
      </w:r>
      <w:r w:rsidRPr="005D1C03">
        <w:rPr>
          <w:lang w:val="nn-NO"/>
        </w:rPr>
        <w:t xml:space="preserve">sosiale medium til å informere generelt om kva for rettar, plikter og praksisar som finst i diskrimineringslovgjevinga. Det er </w:t>
      </w:r>
      <w:r w:rsidR="00DC4FF1">
        <w:rPr>
          <w:lang w:val="nn-NO"/>
        </w:rPr>
        <w:t>ó</w:t>
      </w:r>
      <w:r w:rsidRPr="005D1C03">
        <w:rPr>
          <w:lang w:val="nn-NO"/>
        </w:rPr>
        <w:t>g mogleg å møte opp personleg.</w:t>
      </w:r>
    </w:p>
    <w:p w:rsidR="00DB0B23" w:rsidRDefault="00DB0B23" w:rsidP="00650938">
      <w:pPr>
        <w:rPr>
          <w:lang w:val="nn-NO"/>
        </w:rPr>
      </w:pPr>
    </w:p>
    <w:p w:rsidR="00DB0B23" w:rsidRPr="006202FB" w:rsidRDefault="00DB0B23" w:rsidP="00DB0B23">
      <w:pPr>
        <w:pStyle w:val="Overskrift3"/>
      </w:pPr>
      <w:r w:rsidRPr="006202FB">
        <w:t>Betre og raskare hjelp</w:t>
      </w:r>
    </w:p>
    <w:p w:rsidR="00DB0B23" w:rsidRDefault="00DB0B23" w:rsidP="00650938">
      <w:pPr>
        <w:rPr>
          <w:lang w:val="nn-NO"/>
        </w:rPr>
      </w:pPr>
      <w:r w:rsidRPr="006202FB">
        <w:rPr>
          <w:lang w:val="nn-NO"/>
        </w:rPr>
        <w:t xml:space="preserve">For å hjelpe dei som er utsette for diskriminering, er vi opptatt av at dei raskt skal </w:t>
      </w:r>
      <w:r>
        <w:rPr>
          <w:lang w:val="nn-NO"/>
        </w:rPr>
        <w:t>kome</w:t>
      </w:r>
      <w:r w:rsidRPr="006202FB">
        <w:rPr>
          <w:lang w:val="nn-NO"/>
        </w:rPr>
        <w:t xml:space="preserve"> i dialog med oss. Personar som ring</w:t>
      </w:r>
      <w:r>
        <w:rPr>
          <w:lang w:val="nn-NO"/>
        </w:rPr>
        <w:t>j</w:t>
      </w:r>
      <w:r w:rsidRPr="006202FB">
        <w:rPr>
          <w:lang w:val="nn-NO"/>
        </w:rPr>
        <w:t>er oss, skal få svar same dag. Når det gjeld førespurnader</w:t>
      </w:r>
      <w:r>
        <w:rPr>
          <w:lang w:val="nn-NO"/>
        </w:rPr>
        <w:t xml:space="preserve"> til oss, </w:t>
      </w:r>
      <w:r w:rsidRPr="006202FB">
        <w:rPr>
          <w:lang w:val="nn-NO"/>
        </w:rPr>
        <w:t>skal f</w:t>
      </w:r>
      <w:r>
        <w:rPr>
          <w:lang w:val="nn-NO"/>
        </w:rPr>
        <w:t>ø</w:t>
      </w:r>
      <w:r w:rsidRPr="006202FB">
        <w:rPr>
          <w:lang w:val="nn-NO"/>
        </w:rPr>
        <w:t>rste svar bli gitt så snart som mogleg, og seinast i løpet av ni dagar.</w:t>
      </w:r>
      <w:r w:rsidR="00DC4FF1">
        <w:rPr>
          <w:lang w:val="nn-NO"/>
        </w:rPr>
        <w:t xml:space="preserve"> Dette oppfyller vi. </w:t>
      </w:r>
    </w:p>
    <w:p w:rsidR="00421A16" w:rsidRPr="005D1C03" w:rsidRDefault="00421A16" w:rsidP="00650938">
      <w:pPr>
        <w:rPr>
          <w:lang w:val="nn-NO"/>
        </w:rPr>
      </w:pPr>
    </w:p>
    <w:p w:rsidR="00650938" w:rsidRPr="005D1C03" w:rsidRDefault="00650938" w:rsidP="00650938">
      <w:pPr>
        <w:rPr>
          <w:color w:val="FF0000"/>
          <w:lang w:val="nn-NO"/>
        </w:rPr>
      </w:pPr>
      <w:r w:rsidRPr="004360D8">
        <w:rPr>
          <w:b/>
          <w:lang w:val="nn-NO"/>
        </w:rPr>
        <w:t>Nye nettsider</w:t>
      </w:r>
      <w:r w:rsidRPr="004360D8">
        <w:rPr>
          <w:lang w:val="nn-NO"/>
        </w:rPr>
        <w:t xml:space="preserve"> </w:t>
      </w:r>
    </w:p>
    <w:p w:rsidR="00650938" w:rsidRPr="005D1C03" w:rsidRDefault="00650938" w:rsidP="00650938">
      <w:pPr>
        <w:rPr>
          <w:lang w:val="nn-NO"/>
        </w:rPr>
      </w:pPr>
      <w:r w:rsidRPr="005D1C03">
        <w:rPr>
          <w:lang w:val="nn-NO"/>
        </w:rPr>
        <w:t xml:space="preserve">I rettleiinga vår og dialogen med ulike grupper er nettsida viktig. Nettsida </w:t>
      </w:r>
      <w:r>
        <w:rPr>
          <w:lang w:val="nn-NO"/>
        </w:rPr>
        <w:t xml:space="preserve">er </w:t>
      </w:r>
      <w:r w:rsidRPr="005D1C03">
        <w:rPr>
          <w:lang w:val="nn-NO"/>
        </w:rPr>
        <w:t xml:space="preserve">ein kanal der vi gjev rettleiing, og fortel folk, det vere seg enkeltpersonar, tillitsvalde, HR-tilsette og arbeidsgjevarar, om rettar og plikter. Vi har </w:t>
      </w:r>
      <w:r>
        <w:rPr>
          <w:lang w:val="nn-NO"/>
        </w:rPr>
        <w:t>ó</w:t>
      </w:r>
      <w:r w:rsidRPr="005D1C03">
        <w:rPr>
          <w:lang w:val="nn-NO"/>
        </w:rPr>
        <w:t>g kontaktskjema på nett som er kryptert og slik sett er ein s</w:t>
      </w:r>
      <w:r w:rsidR="00ED118B">
        <w:rPr>
          <w:lang w:val="nn-NO"/>
        </w:rPr>
        <w:t>ikk</w:t>
      </w:r>
      <w:r w:rsidR="00477933">
        <w:rPr>
          <w:lang w:val="nn-NO"/>
        </w:rPr>
        <w:t>e</w:t>
      </w:r>
      <w:r w:rsidRPr="005D1C03">
        <w:rPr>
          <w:lang w:val="nn-NO"/>
        </w:rPr>
        <w:t xml:space="preserve">r kommunikasjonskanal til ombodet sine sakshandsamarar. </w:t>
      </w:r>
    </w:p>
    <w:p w:rsidR="00650938" w:rsidRDefault="00650938" w:rsidP="00650938">
      <w:pPr>
        <w:rPr>
          <w:lang w:val="nn-NO"/>
        </w:rPr>
      </w:pPr>
      <w:r w:rsidRPr="005D1C03">
        <w:rPr>
          <w:lang w:val="nn-NO"/>
        </w:rPr>
        <w:t xml:space="preserve">I 2019 har vi gitt nettsida vår eit løft både visuelt og </w:t>
      </w:r>
      <w:r>
        <w:rPr>
          <w:lang w:val="nn-NO"/>
        </w:rPr>
        <w:t>når det gjeld innhald</w:t>
      </w:r>
      <w:r w:rsidRPr="005D1C03">
        <w:rPr>
          <w:lang w:val="nn-NO"/>
        </w:rPr>
        <w:t xml:space="preserve">. </w:t>
      </w:r>
      <w:r>
        <w:rPr>
          <w:lang w:val="nn-NO"/>
        </w:rPr>
        <w:t xml:space="preserve">Vårt mål er at dei som </w:t>
      </w:r>
      <w:r w:rsidR="00C24BC1">
        <w:rPr>
          <w:lang w:val="nn-NO"/>
        </w:rPr>
        <w:t>kjem</w:t>
      </w:r>
      <w:r>
        <w:rPr>
          <w:lang w:val="nn-NO"/>
        </w:rPr>
        <w:t xml:space="preserve"> inn på nettsida vår skal oppleve at dei raskt finn svar på det dei har spørsmål om. </w:t>
      </w:r>
      <w:r w:rsidR="00C24BC1">
        <w:rPr>
          <w:lang w:val="nn-NO"/>
        </w:rPr>
        <w:t xml:space="preserve">Brukarperspektivet vart derfor førande </w:t>
      </w:r>
      <w:r>
        <w:rPr>
          <w:lang w:val="nn-NO"/>
        </w:rPr>
        <w:t>for arbeidet vårt med dei nye nettsidene. Vi har ó</w:t>
      </w:r>
      <w:r w:rsidRPr="005D1C03">
        <w:rPr>
          <w:lang w:val="nn-NO"/>
        </w:rPr>
        <w:t xml:space="preserve">g utvida sidene våre med å skrive meir om alt det ombodet </w:t>
      </w:r>
      <w:r>
        <w:rPr>
          <w:lang w:val="nn-NO"/>
        </w:rPr>
        <w:t xml:space="preserve">arbeider med </w:t>
      </w:r>
      <w:r w:rsidRPr="005D1C03">
        <w:rPr>
          <w:lang w:val="nn-NO"/>
        </w:rPr>
        <w:t>ved sidan av rettleiinga. Dette finn ein no under fana «Ombodet og samfunnet».</w:t>
      </w:r>
      <w:r w:rsidR="00A56636">
        <w:rPr>
          <w:lang w:val="nn-NO"/>
        </w:rPr>
        <w:t xml:space="preserve"> Vi vil halde </w:t>
      </w:r>
      <w:r w:rsidR="003C2D28">
        <w:rPr>
          <w:lang w:val="nn-NO"/>
        </w:rPr>
        <w:t>fra</w:t>
      </w:r>
      <w:r w:rsidR="00A56636">
        <w:rPr>
          <w:lang w:val="nn-NO"/>
        </w:rPr>
        <w:t xml:space="preserve">m med å utvikle nettsidene som ein kanal for brukarane. </w:t>
      </w:r>
    </w:p>
    <w:p w:rsidR="00650938" w:rsidRDefault="00650938" w:rsidP="00650938">
      <w:pPr>
        <w:pStyle w:val="Overskrift3"/>
      </w:pPr>
    </w:p>
    <w:p w:rsidR="00117DF1" w:rsidRPr="005D1C03" w:rsidRDefault="00117DF1" w:rsidP="00117DF1">
      <w:pPr>
        <w:outlineLvl w:val="2"/>
        <w:rPr>
          <w:b/>
          <w:lang w:val="nn-NO"/>
        </w:rPr>
      </w:pPr>
      <w:bookmarkStart w:id="5" w:name="_Toc9506382"/>
      <w:r w:rsidRPr="005D1C03">
        <w:rPr>
          <w:b/>
          <w:lang w:val="nn-NO"/>
        </w:rPr>
        <w:t xml:space="preserve">Saker </w:t>
      </w:r>
      <w:r>
        <w:rPr>
          <w:b/>
          <w:lang w:val="nn-NO"/>
        </w:rPr>
        <w:t>til Diskrimineringsnemnda</w:t>
      </w:r>
      <w:bookmarkEnd w:id="5"/>
    </w:p>
    <w:p w:rsidR="00650938" w:rsidRPr="005D1C03" w:rsidRDefault="00117DF1" w:rsidP="00650938">
      <w:pPr>
        <w:rPr>
          <w:lang w:val="nn-NO"/>
        </w:rPr>
      </w:pPr>
      <w:r w:rsidRPr="005D1C03">
        <w:rPr>
          <w:lang w:val="nn-NO"/>
        </w:rPr>
        <w:t>Ombodet kan sjølv fremje saker til Diskrimineringsnemnda</w:t>
      </w:r>
      <w:r>
        <w:rPr>
          <w:lang w:val="nn-NO"/>
        </w:rPr>
        <w:t xml:space="preserve">. I 2019 klaga ombodet inn to saker for </w:t>
      </w:r>
      <w:r w:rsidR="000C4C1C">
        <w:rPr>
          <w:lang w:val="nn-NO"/>
        </w:rPr>
        <w:t>n</w:t>
      </w:r>
      <w:r>
        <w:rPr>
          <w:lang w:val="nn-NO"/>
        </w:rPr>
        <w:t>emnda:</w:t>
      </w:r>
      <w:r w:rsidR="00650938">
        <w:rPr>
          <w:lang w:val="nn-NO"/>
        </w:rPr>
        <w:t xml:space="preserve"> </w:t>
      </w:r>
    </w:p>
    <w:p w:rsidR="00650938" w:rsidRDefault="00650938" w:rsidP="00650938">
      <w:pPr>
        <w:rPr>
          <w:color w:val="FF0000"/>
          <w:lang w:val="nn-NO"/>
        </w:rPr>
      </w:pPr>
    </w:p>
    <w:p w:rsidR="00650938" w:rsidRPr="004360D8" w:rsidRDefault="00650938" w:rsidP="00650938">
      <w:pPr>
        <w:rPr>
          <w:b/>
          <w:lang w:val="nn-NO"/>
        </w:rPr>
      </w:pPr>
      <w:r w:rsidRPr="004360D8">
        <w:rPr>
          <w:b/>
          <w:lang w:val="nn-NO"/>
        </w:rPr>
        <w:t>Sak om Forsvaret</w:t>
      </w:r>
    </w:p>
    <w:p w:rsidR="00650938" w:rsidRDefault="00650938" w:rsidP="00650938">
      <w:pPr>
        <w:rPr>
          <w:lang w:val="nn-NO"/>
        </w:rPr>
      </w:pPr>
      <w:r w:rsidRPr="004360D8">
        <w:rPr>
          <w:lang w:val="nn-NO"/>
        </w:rPr>
        <w:t xml:space="preserve">I </w:t>
      </w:r>
      <w:r>
        <w:rPr>
          <w:lang w:val="nn-NO"/>
        </w:rPr>
        <w:t>januar 2019 klaga</w:t>
      </w:r>
      <w:r w:rsidRPr="004360D8">
        <w:rPr>
          <w:lang w:val="nn-NO"/>
        </w:rPr>
        <w:t xml:space="preserve"> </w:t>
      </w:r>
      <w:r>
        <w:rPr>
          <w:lang w:val="nn-NO"/>
        </w:rPr>
        <w:t>ombodet</w:t>
      </w:r>
      <w:r w:rsidRPr="004360D8">
        <w:rPr>
          <w:lang w:val="nn-NO"/>
        </w:rPr>
        <w:t xml:space="preserve"> inn ei sak for Diskrimineringsnemnda som gjaldt personar med ADHD-diagnose og </w:t>
      </w:r>
      <w:r>
        <w:rPr>
          <w:lang w:val="nn-NO"/>
        </w:rPr>
        <w:t xml:space="preserve">deira moglegheit til å ta </w:t>
      </w:r>
      <w:r w:rsidRPr="004360D8">
        <w:rPr>
          <w:lang w:val="nn-NO"/>
        </w:rPr>
        <w:t>førstegongstene</w:t>
      </w:r>
      <w:r>
        <w:rPr>
          <w:lang w:val="nn-NO"/>
        </w:rPr>
        <w:t xml:space="preserve">ste. Ombodet ba </w:t>
      </w:r>
      <w:r w:rsidRPr="00417D3E">
        <w:rPr>
          <w:lang w:val="nn-NO"/>
        </w:rPr>
        <w:t>nemnda</w:t>
      </w:r>
      <w:r>
        <w:rPr>
          <w:lang w:val="nn-NO"/>
        </w:rPr>
        <w:t xml:space="preserve"> ta stilling til om menneske</w:t>
      </w:r>
      <w:r w:rsidRPr="004360D8">
        <w:rPr>
          <w:lang w:val="nn-NO"/>
        </w:rPr>
        <w:t xml:space="preserve"> med ADHD-diagnose vart diskriminert når det ikkje gjerast ein individuell vurdering av om dei er egna for førstegongsteneste. Under behandlinga forklarte Forsvaret at dei ville </w:t>
      </w:r>
      <w:r>
        <w:rPr>
          <w:lang w:val="nn-NO"/>
        </w:rPr>
        <w:t xml:space="preserve">endre </w:t>
      </w:r>
      <w:r w:rsidRPr="004360D8">
        <w:rPr>
          <w:lang w:val="nn-NO"/>
        </w:rPr>
        <w:t xml:space="preserve">denne praksisen, slik at det blei gitt ein individuell vurdering. Vi trakk derfor saka for nemnda. Vi er </w:t>
      </w:r>
      <w:r w:rsidR="00ED7653">
        <w:rPr>
          <w:lang w:val="nn-NO"/>
        </w:rPr>
        <w:t>fra</w:t>
      </w:r>
      <w:r>
        <w:rPr>
          <w:lang w:val="nn-NO"/>
        </w:rPr>
        <w:t>mleis i dialog med Forsvaret om denne saka.</w:t>
      </w:r>
    </w:p>
    <w:p w:rsidR="00650938" w:rsidRDefault="00650938" w:rsidP="00650938">
      <w:pPr>
        <w:rPr>
          <w:lang w:val="nn-NO"/>
        </w:rPr>
      </w:pPr>
    </w:p>
    <w:p w:rsidR="00650938" w:rsidRDefault="00650938" w:rsidP="00650938">
      <w:pPr>
        <w:rPr>
          <w:b/>
          <w:lang w:val="nn-NO"/>
        </w:rPr>
      </w:pPr>
      <w:r>
        <w:rPr>
          <w:b/>
          <w:lang w:val="nn-NO"/>
        </w:rPr>
        <w:t>Sak om Kriminalomsorga</w:t>
      </w:r>
    </w:p>
    <w:p w:rsidR="00650938" w:rsidRDefault="00650938" w:rsidP="00650938">
      <w:pPr>
        <w:rPr>
          <w:lang w:val="nn-NO"/>
        </w:rPr>
      </w:pPr>
      <w:r w:rsidRPr="001B30CF">
        <w:rPr>
          <w:lang w:val="nn-NO"/>
        </w:rPr>
        <w:t>I mars 2019 klaga Likestillings- og diskrimineringsombodet Kriminalomsorga inn for Diskrimineringsnemnda for brot på reglane om diskriminering på grunn av kjønn. Ombodet</w:t>
      </w:r>
      <w:r w:rsidR="00F410D0">
        <w:rPr>
          <w:lang w:val="nn-NO"/>
        </w:rPr>
        <w:t xml:space="preserve"> meiner at dei </w:t>
      </w:r>
      <w:r w:rsidRPr="001B30CF">
        <w:rPr>
          <w:lang w:val="nn-NO"/>
        </w:rPr>
        <w:t>innsette</w:t>
      </w:r>
      <w:r w:rsidR="00F410D0">
        <w:rPr>
          <w:lang w:val="nn-NO"/>
        </w:rPr>
        <w:t xml:space="preserve"> som er kvinner</w:t>
      </w:r>
      <w:r w:rsidRPr="001B30CF">
        <w:rPr>
          <w:lang w:val="nn-NO"/>
        </w:rPr>
        <w:t xml:space="preserve"> i Tromsø fengsel har eit dårlegare tilbod enn dei innsette som er menn. Ombodet meiner at kvinnene i større grad er utsette for isolasjon og får eit dårlegare tilbod om aktivitetar og fellesskap. Kvinnene p</w:t>
      </w:r>
      <w:r>
        <w:rPr>
          <w:lang w:val="nn-NO"/>
        </w:rPr>
        <w:t>å høg</w:t>
      </w:r>
      <w:r w:rsidRPr="001B30CF">
        <w:rPr>
          <w:lang w:val="nn-NO"/>
        </w:rPr>
        <w:t xml:space="preserve">t tryggingsnivå får ikkje tilbod </w:t>
      </w:r>
      <w:r w:rsidRPr="001B30CF">
        <w:rPr>
          <w:lang w:val="nn-NO"/>
        </w:rPr>
        <w:lastRenderedPageBreak/>
        <w:t xml:space="preserve">om skule slik mennene får. Diskrimineringsnemnda er venta å ta stilling til klaga frå ombodet i løpet av våren 2020. </w:t>
      </w:r>
    </w:p>
    <w:p w:rsidR="00A055DA" w:rsidRPr="00250BA7" w:rsidRDefault="00A055DA" w:rsidP="00A055DA">
      <w:pPr>
        <w:rPr>
          <w:lang w:val="nn-NO"/>
        </w:rPr>
      </w:pPr>
      <w:r w:rsidRPr="00250BA7">
        <w:rPr>
          <w:lang w:val="nn-NO"/>
        </w:rPr>
        <w:t xml:space="preserve">I andre saker gjer ombodet rettleiing til folk som </w:t>
      </w:r>
      <w:r w:rsidR="00CA7580">
        <w:rPr>
          <w:lang w:val="nn-NO"/>
        </w:rPr>
        <w:t>ønskjer</w:t>
      </w:r>
      <w:r w:rsidRPr="00250BA7">
        <w:rPr>
          <w:lang w:val="nn-NO"/>
        </w:rPr>
        <w:t xml:space="preserve"> å klage til nemnda. Under følgjer </w:t>
      </w:r>
      <w:r w:rsidR="002B692B">
        <w:rPr>
          <w:lang w:val="nn-NO"/>
        </w:rPr>
        <w:t>to slike</w:t>
      </w:r>
      <w:r w:rsidRPr="00250BA7">
        <w:rPr>
          <w:lang w:val="nn-NO"/>
        </w:rPr>
        <w:t xml:space="preserve"> døme:</w:t>
      </w:r>
    </w:p>
    <w:p w:rsidR="009B72B7" w:rsidRDefault="00A055DA" w:rsidP="00650938">
      <w:pPr>
        <w:rPr>
          <w:lang w:val="nn-NO"/>
        </w:rPr>
      </w:pPr>
      <w:r>
        <w:rPr>
          <w:lang w:val="nn-NO"/>
        </w:rPr>
        <w:t>Ei</w:t>
      </w:r>
      <w:r w:rsidRPr="00250BA7">
        <w:rPr>
          <w:lang w:val="nn-NO"/>
        </w:rPr>
        <w:t xml:space="preserve"> kvinne som </w:t>
      </w:r>
      <w:r>
        <w:rPr>
          <w:lang w:val="nn-NO"/>
        </w:rPr>
        <w:t xml:space="preserve">hadde kontakta ombodet for rettleiing om graviditetsdiskriminering </w:t>
      </w:r>
      <w:r w:rsidRPr="00C86F21">
        <w:rPr>
          <w:lang w:val="nn-NO"/>
        </w:rPr>
        <w:t>tidlegare</w:t>
      </w:r>
      <w:r w:rsidRPr="00250BA7">
        <w:rPr>
          <w:lang w:val="nn-NO"/>
        </w:rPr>
        <w:t xml:space="preserve"> kontakt</w:t>
      </w:r>
      <w:r>
        <w:rPr>
          <w:lang w:val="nn-NO"/>
        </w:rPr>
        <w:t>a oss igjen</w:t>
      </w:r>
      <w:r w:rsidR="00B44EE5">
        <w:rPr>
          <w:lang w:val="nn-NO"/>
        </w:rPr>
        <w:t xml:space="preserve"> etter at ho</w:t>
      </w:r>
      <w:r w:rsidRPr="00250BA7">
        <w:rPr>
          <w:lang w:val="nn-NO"/>
        </w:rPr>
        <w:t xml:space="preserve"> hadde bestemt seg for å klage </w:t>
      </w:r>
      <w:r>
        <w:rPr>
          <w:lang w:val="nn-NO"/>
        </w:rPr>
        <w:t>arbeidsgjeva</w:t>
      </w:r>
      <w:r w:rsidRPr="00250BA7">
        <w:rPr>
          <w:lang w:val="nn-NO"/>
        </w:rPr>
        <w:t>ren</w:t>
      </w:r>
      <w:r>
        <w:rPr>
          <w:lang w:val="nn-NO"/>
        </w:rPr>
        <w:t xml:space="preserve"> inn for nemnda. Arbeidsgjevaren hadde nekta kvinna å komme attende til arbeid etter </w:t>
      </w:r>
      <w:r w:rsidR="00772F10">
        <w:rPr>
          <w:lang w:val="nn-NO"/>
        </w:rPr>
        <w:t>foreldrepermisjonen hennar fordi</w:t>
      </w:r>
      <w:r>
        <w:rPr>
          <w:lang w:val="nn-NO"/>
        </w:rPr>
        <w:t xml:space="preserve"> han meinte ho ikkje hadde rett til det</w:t>
      </w:r>
      <w:r w:rsidR="00973270">
        <w:rPr>
          <w:lang w:val="nn-NO"/>
        </w:rPr>
        <w:t xml:space="preserve">. Saka var </w:t>
      </w:r>
      <w:r w:rsidR="009C28DC">
        <w:rPr>
          <w:lang w:val="nn-NO"/>
        </w:rPr>
        <w:t>vore</w:t>
      </w:r>
      <w:r>
        <w:rPr>
          <w:lang w:val="nn-NO"/>
        </w:rPr>
        <w:t xml:space="preserve"> alvorleg for kvinna. Ombodet</w:t>
      </w:r>
      <w:r w:rsidRPr="00250BA7">
        <w:rPr>
          <w:lang w:val="nn-NO"/>
        </w:rPr>
        <w:t xml:space="preserve"> </w:t>
      </w:r>
      <w:r>
        <w:rPr>
          <w:lang w:val="nn-NO"/>
        </w:rPr>
        <w:t>hjalp kvinna med råd om utforminga av klaga. Motparten vald</w:t>
      </w:r>
      <w:r w:rsidRPr="00250BA7">
        <w:rPr>
          <w:lang w:val="nn-NO"/>
        </w:rPr>
        <w:t xml:space="preserve">e å </w:t>
      </w:r>
      <w:r>
        <w:rPr>
          <w:lang w:val="nn-NO"/>
        </w:rPr>
        <w:t>nytte ein advokat, og ombodet vald</w:t>
      </w:r>
      <w:r w:rsidRPr="00250BA7">
        <w:rPr>
          <w:lang w:val="nn-NO"/>
        </w:rPr>
        <w:t xml:space="preserve">e å fortsette </w:t>
      </w:r>
      <w:r w:rsidR="00077BDF">
        <w:rPr>
          <w:lang w:val="nn-NO"/>
        </w:rPr>
        <w:t>rettleiinga overfor klaga</w:t>
      </w:r>
      <w:r>
        <w:rPr>
          <w:lang w:val="nn-NO"/>
        </w:rPr>
        <w:t>r i saka.</w:t>
      </w:r>
      <w:r w:rsidRPr="00250BA7">
        <w:rPr>
          <w:lang w:val="nn-NO"/>
        </w:rPr>
        <w:t xml:space="preserve"> </w:t>
      </w:r>
      <w:r>
        <w:rPr>
          <w:lang w:val="nn-NO"/>
        </w:rPr>
        <w:t>Kvinna</w:t>
      </w:r>
      <w:r w:rsidRPr="00250BA7">
        <w:rPr>
          <w:lang w:val="nn-NO"/>
        </w:rPr>
        <w:t xml:space="preserve"> </w:t>
      </w:r>
      <w:r w:rsidR="00473CEF">
        <w:rPr>
          <w:lang w:val="nn-NO"/>
        </w:rPr>
        <w:t>fekk</w:t>
      </w:r>
      <w:r w:rsidRPr="00250BA7">
        <w:rPr>
          <w:lang w:val="nn-NO"/>
        </w:rPr>
        <w:t xml:space="preserve"> </w:t>
      </w:r>
      <w:r>
        <w:rPr>
          <w:lang w:val="nn-NO"/>
        </w:rPr>
        <w:t>medha</w:t>
      </w:r>
      <w:r w:rsidR="0096200F">
        <w:rPr>
          <w:lang w:val="nn-NO"/>
        </w:rPr>
        <w:t>ld i at ho</w:t>
      </w:r>
      <w:r w:rsidRPr="00250BA7">
        <w:rPr>
          <w:lang w:val="nn-NO"/>
        </w:rPr>
        <w:t xml:space="preserve"> hadde blitt diskriminert.</w:t>
      </w:r>
      <w:r w:rsidR="00A97DBF">
        <w:rPr>
          <w:lang w:val="nn-NO"/>
        </w:rPr>
        <w:t xml:space="preserve"> Sjå nemndas sak 18/168.</w:t>
      </w:r>
    </w:p>
    <w:p w:rsidR="002B692B" w:rsidRPr="00250BA7" w:rsidRDefault="002B692B" w:rsidP="002B692B">
      <w:pPr>
        <w:rPr>
          <w:lang w:val="nn-NO"/>
        </w:rPr>
      </w:pPr>
      <w:r w:rsidRPr="00250BA7">
        <w:rPr>
          <w:lang w:val="nn-NO"/>
        </w:rPr>
        <w:t>Ombodet blir jamleg kontakta av folk som ser diskriminerande stillingsannonsar. Det kan til dømes vere annonsar der ein søk</w:t>
      </w:r>
      <w:r w:rsidR="00BE3EEC">
        <w:rPr>
          <w:lang w:val="nn-NO"/>
        </w:rPr>
        <w:t>j</w:t>
      </w:r>
      <w:r w:rsidRPr="00250BA7">
        <w:rPr>
          <w:lang w:val="nn-NO"/>
        </w:rPr>
        <w:t>er et</w:t>
      </w:r>
      <w:r w:rsidR="00BE3EEC">
        <w:rPr>
          <w:lang w:val="nn-NO"/>
        </w:rPr>
        <w:t>ter folk i ei</w:t>
      </w:r>
      <w:r w:rsidRPr="00250BA7">
        <w:rPr>
          <w:lang w:val="nn-NO"/>
        </w:rPr>
        <w:t xml:space="preserve"> viss aldersgruppe. I </w:t>
      </w:r>
      <w:r w:rsidR="00BE3EEC">
        <w:rPr>
          <w:lang w:val="nn-NO"/>
        </w:rPr>
        <w:t>dei aller fleste tilfella</w:t>
      </w:r>
      <w:r w:rsidRPr="00250BA7">
        <w:rPr>
          <w:lang w:val="nn-NO"/>
        </w:rPr>
        <w:t xml:space="preserve"> er ikkje dette lovleg. Ombodet</w:t>
      </w:r>
      <w:r w:rsidR="00A2600C">
        <w:rPr>
          <w:lang w:val="nn-NO"/>
        </w:rPr>
        <w:t xml:space="preserve"> tek derfor somme gonga</w:t>
      </w:r>
      <w:r w:rsidRPr="00250BA7">
        <w:rPr>
          <w:lang w:val="nn-NO"/>
        </w:rPr>
        <w:t>r kontakt med arbeidsgjevarar for å opplyse om dette og ber arbeidsgjevarar endre annonseteksten, noko dei gjer.</w:t>
      </w:r>
    </w:p>
    <w:p w:rsidR="002B692B" w:rsidRPr="00303FB5" w:rsidRDefault="002B692B" w:rsidP="002B692B">
      <w:pPr>
        <w:rPr>
          <w:lang w:val="nn-NO"/>
        </w:rPr>
      </w:pPr>
      <w:r>
        <w:rPr>
          <w:lang w:val="nn-NO"/>
        </w:rPr>
        <w:t xml:space="preserve">I ei sak blei ombodet kontakta av Norsk gynekologisk forening </w:t>
      </w:r>
      <w:r w:rsidRPr="00303FB5">
        <w:rPr>
          <w:lang w:val="nn-NO"/>
        </w:rPr>
        <w:t xml:space="preserve">og </w:t>
      </w:r>
      <w:r w:rsidR="001F787A">
        <w:rPr>
          <w:lang w:val="nn-NO"/>
        </w:rPr>
        <w:t>to</w:t>
      </w:r>
      <w:r>
        <w:rPr>
          <w:lang w:val="nn-NO"/>
        </w:rPr>
        <w:t xml:space="preserve"> privatpersonar om ei</w:t>
      </w:r>
      <w:r w:rsidRPr="00303FB5">
        <w:rPr>
          <w:lang w:val="nn-NO"/>
        </w:rPr>
        <w:t xml:space="preserve"> annonse </w:t>
      </w:r>
      <w:r w:rsidR="004606C3">
        <w:rPr>
          <w:lang w:val="nn-NO"/>
        </w:rPr>
        <w:t xml:space="preserve">der det vart søkt etter </w:t>
      </w:r>
      <w:r>
        <w:rPr>
          <w:lang w:val="nn-NO"/>
        </w:rPr>
        <w:t>utelukkande kvinnelege gynekologar, uta</w:t>
      </w:r>
      <w:r w:rsidRPr="00303FB5">
        <w:rPr>
          <w:lang w:val="nn-NO"/>
        </w:rPr>
        <w:t xml:space="preserve">n </w:t>
      </w:r>
      <w:r>
        <w:rPr>
          <w:lang w:val="nn-NO"/>
        </w:rPr>
        <w:t xml:space="preserve">å grunngje kvifor. Ombodet </w:t>
      </w:r>
      <w:r w:rsidRPr="00303FB5">
        <w:rPr>
          <w:lang w:val="nn-NO"/>
        </w:rPr>
        <w:t>gjorde</w:t>
      </w:r>
      <w:r>
        <w:rPr>
          <w:lang w:val="nn-NO"/>
        </w:rPr>
        <w:t xml:space="preserve"> greie</w:t>
      </w:r>
      <w:r w:rsidRPr="00303FB5">
        <w:rPr>
          <w:lang w:val="nn-NO"/>
        </w:rPr>
        <w:t xml:space="preserve"> for at </w:t>
      </w:r>
      <w:r>
        <w:rPr>
          <w:lang w:val="nn-NO"/>
        </w:rPr>
        <w:t xml:space="preserve">ei slik annonse i utgangspunktet </w:t>
      </w:r>
      <w:r w:rsidRPr="00303FB5">
        <w:rPr>
          <w:lang w:val="nn-NO"/>
        </w:rPr>
        <w:t xml:space="preserve">var i strid med </w:t>
      </w:r>
      <w:r>
        <w:rPr>
          <w:lang w:val="nn-NO"/>
        </w:rPr>
        <w:t xml:space="preserve">likestillings- og diskrimineringslova </w:t>
      </w:r>
      <w:r w:rsidRPr="00303FB5">
        <w:rPr>
          <w:lang w:val="nn-NO"/>
        </w:rPr>
        <w:t xml:space="preserve">§ 6, </w:t>
      </w:r>
      <w:r>
        <w:rPr>
          <w:lang w:val="nn-NO"/>
        </w:rPr>
        <w:t>sjølv om det</w:t>
      </w:r>
      <w:r w:rsidR="00E66A85">
        <w:rPr>
          <w:lang w:val="nn-NO"/>
        </w:rPr>
        <w:t xml:space="preserve"> i nokon</w:t>
      </w:r>
      <w:r>
        <w:rPr>
          <w:lang w:val="nn-NO"/>
        </w:rPr>
        <w:t xml:space="preserve"> ti</w:t>
      </w:r>
      <w:r w:rsidR="00EA24BC">
        <w:rPr>
          <w:lang w:val="nn-NO"/>
        </w:rPr>
        <w:t>lfelle kan</w:t>
      </w:r>
      <w:r>
        <w:rPr>
          <w:lang w:val="nn-NO"/>
        </w:rPr>
        <w:t xml:space="preserve"> vere sakleg. Ombodet </w:t>
      </w:r>
      <w:r w:rsidRPr="00303FB5">
        <w:rPr>
          <w:lang w:val="nn-NO"/>
        </w:rPr>
        <w:t>kunne ikk</w:t>
      </w:r>
      <w:r w:rsidR="00B9476D">
        <w:rPr>
          <w:lang w:val="nn-NO"/>
        </w:rPr>
        <w:t>je konkludere</w:t>
      </w:r>
      <w:r w:rsidRPr="00303FB5">
        <w:rPr>
          <w:lang w:val="nn-NO"/>
        </w:rPr>
        <w:t xml:space="preserve"> </w:t>
      </w:r>
      <w:r>
        <w:rPr>
          <w:lang w:val="nn-NO"/>
        </w:rPr>
        <w:t>med at det</w:t>
      </w:r>
      <w:r w:rsidR="00077BDF">
        <w:rPr>
          <w:lang w:val="nn-NO"/>
        </w:rPr>
        <w:t xml:space="preserve"> var sakleg i denne saka, fordi </w:t>
      </w:r>
      <w:r>
        <w:rPr>
          <w:lang w:val="nn-NO"/>
        </w:rPr>
        <w:t xml:space="preserve">det ikkje var nokon grunngjeving </w:t>
      </w:r>
      <w:r w:rsidRPr="00303FB5">
        <w:rPr>
          <w:lang w:val="nn-NO"/>
        </w:rPr>
        <w:t xml:space="preserve">for </w:t>
      </w:r>
      <w:r>
        <w:rPr>
          <w:lang w:val="nn-NO"/>
        </w:rPr>
        <w:t xml:space="preserve">at det berre var kvinnelege gynekologar som kunne søkje </w:t>
      </w:r>
      <w:r w:rsidR="009211A0">
        <w:rPr>
          <w:lang w:val="nn-NO"/>
        </w:rPr>
        <w:t xml:space="preserve">på </w:t>
      </w:r>
      <w:r>
        <w:rPr>
          <w:lang w:val="nn-NO"/>
        </w:rPr>
        <w:t xml:space="preserve">stillinga. Ombodet råda </w:t>
      </w:r>
      <w:r w:rsidR="00D10535">
        <w:rPr>
          <w:lang w:val="nn-NO"/>
        </w:rPr>
        <w:t>av den grunn</w:t>
      </w:r>
      <w:r>
        <w:rPr>
          <w:lang w:val="nn-NO"/>
        </w:rPr>
        <w:t xml:space="preserve"> Norsk Gynekologisk fore</w:t>
      </w:r>
      <w:r w:rsidRPr="00485F07">
        <w:rPr>
          <w:lang w:val="nn-NO"/>
        </w:rPr>
        <w:t xml:space="preserve">ning </w:t>
      </w:r>
      <w:r>
        <w:rPr>
          <w:lang w:val="nn-NO"/>
        </w:rPr>
        <w:t>å klage saka</w:t>
      </w:r>
      <w:r w:rsidRPr="00303FB5">
        <w:rPr>
          <w:lang w:val="nn-NO"/>
        </w:rPr>
        <w:t xml:space="preserve"> for Diskrimineringsnemnda og be </w:t>
      </w:r>
      <w:r w:rsidR="00F4546B">
        <w:rPr>
          <w:lang w:val="nn-NO"/>
        </w:rPr>
        <w:t>dei om å fatte ei</w:t>
      </w:r>
      <w:r>
        <w:rPr>
          <w:lang w:val="nn-NO"/>
        </w:rPr>
        <w:t xml:space="preserve"> hasteavgjerd</w:t>
      </w:r>
      <w:r w:rsidRPr="00303FB5">
        <w:rPr>
          <w:lang w:val="nn-NO"/>
        </w:rPr>
        <w:t xml:space="preserve"> etter diskriminering</w:t>
      </w:r>
      <w:r>
        <w:rPr>
          <w:lang w:val="nn-NO"/>
        </w:rPr>
        <w:t>sombodslova</w:t>
      </w:r>
      <w:r w:rsidRPr="00303FB5">
        <w:rPr>
          <w:lang w:val="nn-NO"/>
        </w:rPr>
        <w:t xml:space="preserve"> § 11, og krev</w:t>
      </w:r>
      <w:r>
        <w:rPr>
          <w:lang w:val="nn-NO"/>
        </w:rPr>
        <w:t xml:space="preserve">je utlysninga stansa eller retta. </w:t>
      </w:r>
    </w:p>
    <w:p w:rsidR="002B692B" w:rsidRDefault="002B692B" w:rsidP="00650938">
      <w:pPr>
        <w:rPr>
          <w:lang w:val="nn-NO"/>
        </w:rPr>
      </w:pPr>
      <w:r>
        <w:rPr>
          <w:lang w:val="nn-NO"/>
        </w:rPr>
        <w:t xml:space="preserve">Foreininga følgde oppmodinga og sendte saka til </w:t>
      </w:r>
      <w:r w:rsidRPr="00303FB5">
        <w:rPr>
          <w:lang w:val="nn-NO"/>
        </w:rPr>
        <w:t>nemnda</w:t>
      </w:r>
      <w:r>
        <w:rPr>
          <w:lang w:val="nn-NO"/>
        </w:rPr>
        <w:t>.</w:t>
      </w:r>
      <w:r w:rsidRPr="00303FB5">
        <w:rPr>
          <w:lang w:val="nn-NO"/>
        </w:rPr>
        <w:t xml:space="preserve"> </w:t>
      </w:r>
      <w:r>
        <w:rPr>
          <w:lang w:val="nn-NO"/>
        </w:rPr>
        <w:t>Nemnda fatta ein hasteavgjerd med påbod om rett</w:t>
      </w:r>
      <w:r w:rsidR="00E92370">
        <w:rPr>
          <w:lang w:val="nn-NO"/>
        </w:rPr>
        <w:t>ing slik at utlys</w:t>
      </w:r>
      <w:r>
        <w:rPr>
          <w:lang w:val="nn-NO"/>
        </w:rPr>
        <w:t>inga blei kjønnsn</w:t>
      </w:r>
      <w:r w:rsidRPr="00303FB5">
        <w:rPr>
          <w:lang w:val="nn-NO"/>
        </w:rPr>
        <w:t>øy</w:t>
      </w:r>
      <w:r>
        <w:rPr>
          <w:lang w:val="nn-NO"/>
        </w:rPr>
        <w:t>tral og søknadsfristen forlenga. Sjå n</w:t>
      </w:r>
      <w:r w:rsidRPr="00303FB5">
        <w:rPr>
          <w:lang w:val="nn-NO"/>
        </w:rPr>
        <w:t>emndas sa</w:t>
      </w:r>
      <w:r>
        <w:rPr>
          <w:lang w:val="nn-NO"/>
        </w:rPr>
        <w:t>k</w:t>
      </w:r>
      <w:r w:rsidRPr="00303FB5">
        <w:rPr>
          <w:lang w:val="nn-NO"/>
        </w:rPr>
        <w:t xml:space="preserve"> 19/331.</w:t>
      </w:r>
    </w:p>
    <w:p w:rsidR="008E319B" w:rsidRDefault="008E319B" w:rsidP="009B72B7">
      <w:pPr>
        <w:rPr>
          <w:b/>
          <w:lang w:val="nn-NO"/>
        </w:rPr>
      </w:pPr>
    </w:p>
    <w:p w:rsidR="009B72B7" w:rsidRPr="00250BA7" w:rsidRDefault="009B72B7" w:rsidP="009B72B7">
      <w:pPr>
        <w:rPr>
          <w:b/>
          <w:lang w:val="nn-NO"/>
        </w:rPr>
      </w:pPr>
      <w:r w:rsidRPr="00250BA7">
        <w:rPr>
          <w:b/>
          <w:lang w:val="nn-NO"/>
        </w:rPr>
        <w:t>Anna rettleiing</w:t>
      </w:r>
    </w:p>
    <w:p w:rsidR="009B72B7" w:rsidRPr="005D1C03" w:rsidRDefault="009B72B7" w:rsidP="009B72B7">
      <w:pPr>
        <w:rPr>
          <w:lang w:val="nn-NO"/>
        </w:rPr>
      </w:pPr>
      <w:r w:rsidRPr="005D1C03">
        <w:rPr>
          <w:lang w:val="nn-NO"/>
        </w:rPr>
        <w:t>Ombodet si rettleiing har ulike former. I dei fleste sakene gjev vi rettleiing til de</w:t>
      </w:r>
      <w:r>
        <w:rPr>
          <w:lang w:val="nn-NO"/>
        </w:rPr>
        <w:t>i</w:t>
      </w:r>
      <w:r w:rsidRPr="005D1C03">
        <w:rPr>
          <w:lang w:val="nn-NO"/>
        </w:rPr>
        <w:t xml:space="preserve"> som kontaktar oss, enten skriftleg eller på telefon. </w:t>
      </w:r>
      <w:r>
        <w:rPr>
          <w:lang w:val="nn-NO"/>
        </w:rPr>
        <w:t>Ombodet</w:t>
      </w:r>
      <w:r w:rsidR="00D04737">
        <w:rPr>
          <w:lang w:val="nn-NO"/>
        </w:rPr>
        <w:t xml:space="preserve"> får fleire gonga</w:t>
      </w:r>
      <w:r>
        <w:rPr>
          <w:lang w:val="nn-NO"/>
        </w:rPr>
        <w:t xml:space="preserve">r attendemelding frå personar der saka deira har løyst seg etter at dei har fått rettleiing av oss på telefon eller har vist arbeidsgjevar eit brev frå oss der diskrimineringsjussen er forklara. </w:t>
      </w:r>
      <w:r w:rsidRPr="005D1C03">
        <w:rPr>
          <w:lang w:val="nn-NO"/>
        </w:rPr>
        <w:t xml:space="preserve">I nokre saker tek vi også kontakt med til dømes arbeidsgjevar eller tenesteytar </w:t>
      </w:r>
      <w:r>
        <w:rPr>
          <w:lang w:val="nn-NO"/>
        </w:rPr>
        <w:t>for å få løyst saker</w:t>
      </w:r>
      <w:r w:rsidRPr="005D1C03">
        <w:rPr>
          <w:lang w:val="nn-NO"/>
        </w:rPr>
        <w:t xml:space="preserve">. Under følgjer døme på rettleiingssaker </w:t>
      </w:r>
      <w:r>
        <w:rPr>
          <w:lang w:val="nn-NO"/>
        </w:rPr>
        <w:t xml:space="preserve">der ombodet har medverka til at saker </w:t>
      </w:r>
      <w:r w:rsidR="008E319B">
        <w:rPr>
          <w:lang w:val="nn-NO"/>
        </w:rPr>
        <w:t xml:space="preserve">i 2019 </w:t>
      </w:r>
      <w:r>
        <w:rPr>
          <w:lang w:val="nn-NO"/>
        </w:rPr>
        <w:t>har løyst seg:</w:t>
      </w:r>
    </w:p>
    <w:p w:rsidR="009B72B7" w:rsidRPr="00250BA7" w:rsidRDefault="009B72B7" w:rsidP="009B72B7">
      <w:pPr>
        <w:rPr>
          <w:u w:val="single"/>
          <w:lang w:val="nn-NO"/>
        </w:rPr>
      </w:pPr>
      <w:r w:rsidRPr="00250BA7">
        <w:rPr>
          <w:u w:val="single"/>
          <w:lang w:val="nn-NO"/>
        </w:rPr>
        <w:t>Tilrettelegging av kundeservice</w:t>
      </w:r>
    </w:p>
    <w:p w:rsidR="009B72B7" w:rsidRDefault="009B72B7" w:rsidP="009B72B7">
      <w:pPr>
        <w:rPr>
          <w:lang w:val="nn-NO"/>
        </w:rPr>
      </w:pPr>
      <w:r>
        <w:rPr>
          <w:lang w:val="nn-NO"/>
        </w:rPr>
        <w:t>Ombodet blei i fjor kontakta av to hø</w:t>
      </w:r>
      <w:r w:rsidR="00B56AF7">
        <w:rPr>
          <w:lang w:val="nn-NO"/>
        </w:rPr>
        <w:t>y</w:t>
      </w:r>
      <w:r>
        <w:rPr>
          <w:lang w:val="nn-NO"/>
        </w:rPr>
        <w:t>rselshemma</w:t>
      </w:r>
      <w:r w:rsidRPr="00EA2D79">
        <w:rPr>
          <w:lang w:val="nn-NO"/>
        </w:rPr>
        <w:t xml:space="preserve"> som ikk</w:t>
      </w:r>
      <w:r w:rsidR="00B56AF7">
        <w:rPr>
          <w:lang w:val="nn-NO"/>
        </w:rPr>
        <w:t>je fe</w:t>
      </w:r>
      <w:r>
        <w:rPr>
          <w:lang w:val="nn-NO"/>
        </w:rPr>
        <w:t xml:space="preserve">kk </w:t>
      </w:r>
      <w:r w:rsidR="00B56AF7">
        <w:rPr>
          <w:lang w:val="nn-NO"/>
        </w:rPr>
        <w:t xml:space="preserve">gjort endringar i bestillinga si </w:t>
      </w:r>
      <w:r>
        <w:rPr>
          <w:lang w:val="nn-NO"/>
        </w:rPr>
        <w:t>på flybilletta</w:t>
      </w:r>
      <w:r w:rsidRPr="00EA2D79">
        <w:rPr>
          <w:lang w:val="nn-NO"/>
        </w:rPr>
        <w:t xml:space="preserve">r </w:t>
      </w:r>
      <w:r>
        <w:rPr>
          <w:lang w:val="nn-NO"/>
        </w:rPr>
        <w:t>verken i</w:t>
      </w:r>
      <w:r w:rsidRPr="00EA2D79">
        <w:rPr>
          <w:lang w:val="nn-NO"/>
        </w:rPr>
        <w:t xml:space="preserve"> SAS </w:t>
      </w:r>
      <w:r>
        <w:rPr>
          <w:lang w:val="nn-NO"/>
        </w:rPr>
        <w:t xml:space="preserve">si </w:t>
      </w:r>
      <w:r w:rsidRPr="00EA2D79">
        <w:rPr>
          <w:lang w:val="nn-NO"/>
        </w:rPr>
        <w:t>chat</w:t>
      </w:r>
      <w:r>
        <w:rPr>
          <w:lang w:val="nn-NO"/>
        </w:rPr>
        <w:t>-</w:t>
      </w:r>
      <w:r w:rsidRPr="00EA2D79">
        <w:rPr>
          <w:lang w:val="nn-NO"/>
        </w:rPr>
        <w:t>teneste</w:t>
      </w:r>
      <w:r>
        <w:rPr>
          <w:lang w:val="nn-NO"/>
        </w:rPr>
        <w:t xml:space="preserve"> eller på e-</w:t>
      </w:r>
      <w:r w:rsidR="002C10DF">
        <w:rPr>
          <w:lang w:val="nn-NO"/>
        </w:rPr>
        <w:t>post. Dei hadde begge blitt bedne</w:t>
      </w:r>
      <w:r>
        <w:rPr>
          <w:lang w:val="nn-NO"/>
        </w:rPr>
        <w:t xml:space="preserve"> </w:t>
      </w:r>
      <w:r w:rsidRPr="00EA2D79">
        <w:rPr>
          <w:lang w:val="nn-NO"/>
        </w:rPr>
        <w:t>om å ring</w:t>
      </w:r>
      <w:r w:rsidR="002C10DF">
        <w:rPr>
          <w:lang w:val="nn-NO"/>
        </w:rPr>
        <w:t>j</w:t>
      </w:r>
      <w:r w:rsidRPr="00EA2D79">
        <w:rPr>
          <w:lang w:val="nn-NO"/>
        </w:rPr>
        <w:t>e SAS kundeservice</w:t>
      </w:r>
      <w:r w:rsidR="00370111">
        <w:rPr>
          <w:lang w:val="nn-NO"/>
        </w:rPr>
        <w:t>,</w:t>
      </w:r>
      <w:r w:rsidR="002C10DF">
        <w:rPr>
          <w:lang w:val="nn-NO"/>
        </w:rPr>
        <w:t xml:space="preserve"> noko</w:t>
      </w:r>
      <w:r w:rsidRPr="00EA2D79">
        <w:rPr>
          <w:lang w:val="nn-NO"/>
        </w:rPr>
        <w:t xml:space="preserve"> de</w:t>
      </w:r>
      <w:r>
        <w:rPr>
          <w:lang w:val="nn-NO"/>
        </w:rPr>
        <w:t>i</w:t>
      </w:r>
      <w:r w:rsidRPr="00EA2D79">
        <w:rPr>
          <w:lang w:val="nn-NO"/>
        </w:rPr>
        <w:t xml:space="preserve"> ikkje</w:t>
      </w:r>
      <w:r>
        <w:rPr>
          <w:lang w:val="nn-NO"/>
        </w:rPr>
        <w:t xml:space="preserve"> kunne </w:t>
      </w:r>
      <w:r w:rsidR="003E0FFC">
        <w:rPr>
          <w:lang w:val="nn-NO"/>
        </w:rPr>
        <w:t>gjere på grunn av</w:t>
      </w:r>
      <w:r w:rsidRPr="00EA2D79">
        <w:rPr>
          <w:lang w:val="nn-NO"/>
        </w:rPr>
        <w:t xml:space="preserve"> </w:t>
      </w:r>
      <w:r>
        <w:rPr>
          <w:lang w:val="nn-NO"/>
        </w:rPr>
        <w:t>hø</w:t>
      </w:r>
      <w:r w:rsidR="00E1600C">
        <w:rPr>
          <w:lang w:val="nn-NO"/>
        </w:rPr>
        <w:t>y</w:t>
      </w:r>
      <w:r>
        <w:rPr>
          <w:lang w:val="nn-NO"/>
        </w:rPr>
        <w:t>rselshemminga</w:t>
      </w:r>
      <w:r w:rsidR="003E0FFC">
        <w:rPr>
          <w:lang w:val="nn-NO"/>
        </w:rPr>
        <w:t>.</w:t>
      </w:r>
      <w:r>
        <w:rPr>
          <w:lang w:val="nn-NO"/>
        </w:rPr>
        <w:t xml:space="preserve"> Ombodet </w:t>
      </w:r>
      <w:r w:rsidRPr="00EA2D79">
        <w:rPr>
          <w:lang w:val="nn-NO"/>
        </w:rPr>
        <w:t xml:space="preserve">tok kontakt </w:t>
      </w:r>
      <w:r>
        <w:rPr>
          <w:lang w:val="nn-NO"/>
        </w:rPr>
        <w:t>med SAS og gjorde dei merksa</w:t>
      </w:r>
      <w:r w:rsidRPr="00EA2D79">
        <w:rPr>
          <w:lang w:val="nn-NO"/>
        </w:rPr>
        <w:t>m</w:t>
      </w:r>
      <w:r>
        <w:rPr>
          <w:lang w:val="nn-NO"/>
        </w:rPr>
        <w:t>e</w:t>
      </w:r>
      <w:r w:rsidRPr="00EA2D79">
        <w:rPr>
          <w:lang w:val="nn-NO"/>
        </w:rPr>
        <w:t xml:space="preserve"> på at SAS har e</w:t>
      </w:r>
      <w:r>
        <w:rPr>
          <w:lang w:val="nn-NO"/>
        </w:rPr>
        <w:t>i</w:t>
      </w:r>
      <w:r w:rsidRPr="00EA2D79">
        <w:rPr>
          <w:lang w:val="nn-NO"/>
        </w:rPr>
        <w:t xml:space="preserve"> plikt til å legg</w:t>
      </w:r>
      <w:r w:rsidR="00C57C48">
        <w:rPr>
          <w:lang w:val="nn-NO"/>
        </w:rPr>
        <w:t>j</w:t>
      </w:r>
      <w:r w:rsidRPr="00EA2D79">
        <w:rPr>
          <w:lang w:val="nn-NO"/>
        </w:rPr>
        <w:t xml:space="preserve">e </w:t>
      </w:r>
      <w:r>
        <w:rPr>
          <w:lang w:val="nn-NO"/>
        </w:rPr>
        <w:t>til ret</w:t>
      </w:r>
      <w:r w:rsidR="00C57C48">
        <w:rPr>
          <w:lang w:val="nn-NO"/>
        </w:rPr>
        <w:t>te for persona</w:t>
      </w:r>
      <w:r>
        <w:rPr>
          <w:lang w:val="nn-NO"/>
        </w:rPr>
        <w:t>r med nedse</w:t>
      </w:r>
      <w:r w:rsidRPr="00EA2D79">
        <w:rPr>
          <w:lang w:val="nn-NO"/>
        </w:rPr>
        <w:t>tt funksjonsevne, slik at de</w:t>
      </w:r>
      <w:r>
        <w:rPr>
          <w:lang w:val="nn-NO"/>
        </w:rPr>
        <w:t>i også kan gjere endringa</w:t>
      </w:r>
      <w:r w:rsidRPr="00EA2D79">
        <w:rPr>
          <w:lang w:val="nn-NO"/>
        </w:rPr>
        <w:t>r i fl</w:t>
      </w:r>
      <w:r>
        <w:rPr>
          <w:lang w:val="nn-NO"/>
        </w:rPr>
        <w:t>ybilletta</w:t>
      </w:r>
      <w:r w:rsidRPr="00EA2D79">
        <w:rPr>
          <w:lang w:val="nn-NO"/>
        </w:rPr>
        <w:t xml:space="preserve">r. </w:t>
      </w:r>
      <w:r>
        <w:rPr>
          <w:lang w:val="nn-NO"/>
        </w:rPr>
        <w:t>SAS ga attendemelding om at dei endra praksis slik at det ordna seg for dei begge.</w:t>
      </w:r>
    </w:p>
    <w:p w:rsidR="009B72B7" w:rsidRPr="00250BA7" w:rsidRDefault="009B72B7" w:rsidP="009B72B7">
      <w:pPr>
        <w:rPr>
          <w:lang w:val="nn-NO"/>
        </w:rPr>
      </w:pPr>
    </w:p>
    <w:p w:rsidR="003E0FFC" w:rsidRDefault="003E0FFC" w:rsidP="009B72B7">
      <w:pPr>
        <w:rPr>
          <w:u w:val="single"/>
          <w:lang w:val="nn-NO"/>
        </w:rPr>
      </w:pPr>
    </w:p>
    <w:p w:rsidR="003E0FFC" w:rsidRDefault="003E0FFC" w:rsidP="009B72B7">
      <w:pPr>
        <w:rPr>
          <w:u w:val="single"/>
          <w:lang w:val="nn-NO"/>
        </w:rPr>
      </w:pPr>
    </w:p>
    <w:p w:rsidR="009B72B7" w:rsidRPr="00250BA7" w:rsidRDefault="009B72B7" w:rsidP="009B72B7">
      <w:pPr>
        <w:rPr>
          <w:u w:val="single"/>
          <w:lang w:val="nn-NO"/>
        </w:rPr>
      </w:pPr>
      <w:r w:rsidRPr="00250BA7">
        <w:rPr>
          <w:u w:val="single"/>
          <w:lang w:val="nn-NO"/>
        </w:rPr>
        <w:lastRenderedPageBreak/>
        <w:t>Individuell vurdering av rett til HC-kort</w:t>
      </w:r>
    </w:p>
    <w:p w:rsidR="008B0352" w:rsidRDefault="009B72B7" w:rsidP="00650938">
      <w:pPr>
        <w:rPr>
          <w:lang w:val="nn-NO"/>
        </w:rPr>
      </w:pPr>
      <w:r w:rsidRPr="00250BA7">
        <w:rPr>
          <w:lang w:val="nn-NO"/>
        </w:rPr>
        <w:t>Ombodet har blitt kontakta av fleire som har mista retten til HC-kort etter innstrammingar i kommunen. Vi har gitt skriftleg ret</w:t>
      </w:r>
      <w:r w:rsidR="00786002">
        <w:rPr>
          <w:lang w:val="nn-NO"/>
        </w:rPr>
        <w:t>tleiing i fleire av de</w:t>
      </w:r>
      <w:r w:rsidRPr="00250BA7">
        <w:rPr>
          <w:lang w:val="nn-NO"/>
        </w:rPr>
        <w:t>sse sakene. I rettleiingane har vi lagt ve</w:t>
      </w:r>
      <w:r w:rsidR="00953BDB">
        <w:rPr>
          <w:lang w:val="nn-NO"/>
        </w:rPr>
        <w:t>kt på at ein alltid må gjere ei</w:t>
      </w:r>
      <w:r w:rsidRPr="00250BA7">
        <w:rPr>
          <w:lang w:val="nn-NO"/>
        </w:rPr>
        <w:t xml:space="preserve"> individuell vurdering av den e</w:t>
      </w:r>
      <w:r w:rsidR="00D331ED">
        <w:rPr>
          <w:lang w:val="nn-NO"/>
        </w:rPr>
        <w:t>nkelte sin</w:t>
      </w:r>
      <w:r w:rsidRPr="00250BA7">
        <w:rPr>
          <w:lang w:val="nn-NO"/>
        </w:rPr>
        <w:t xml:space="preserve"> rett til HC-kort. Vi har fått attendemeldingar om at kommunen har endra vurdering i einskilde saker etter vår rettleiing. For dei enkelte er HC-kort avgjerande for å kunne leve eit sjølvstendig liv som samsvarar med CRPD art</w:t>
      </w:r>
      <w:r w:rsidR="00D331ED">
        <w:rPr>
          <w:lang w:val="nn-NO"/>
        </w:rPr>
        <w:t>ikk</w:t>
      </w:r>
      <w:r w:rsidR="00477933">
        <w:rPr>
          <w:lang w:val="nn-NO"/>
        </w:rPr>
        <w:t>e</w:t>
      </w:r>
      <w:r w:rsidR="00066CD2">
        <w:rPr>
          <w:lang w:val="nn-NO"/>
        </w:rPr>
        <w:t>l</w:t>
      </w:r>
      <w:r w:rsidR="001A4E2C">
        <w:rPr>
          <w:lang w:val="nn-NO"/>
        </w:rPr>
        <w:t xml:space="preserve"> 1</w:t>
      </w:r>
      <w:r w:rsidRPr="00250BA7">
        <w:rPr>
          <w:lang w:val="nn-NO"/>
        </w:rPr>
        <w:t xml:space="preserve">9.  </w:t>
      </w:r>
    </w:p>
    <w:p w:rsidR="00DB0B23" w:rsidRDefault="00DB0B23" w:rsidP="00650938">
      <w:pPr>
        <w:rPr>
          <w:b/>
          <w:lang w:val="nn-NO"/>
        </w:rPr>
      </w:pPr>
      <w:r w:rsidRPr="00DB0B23">
        <w:rPr>
          <w:b/>
          <w:lang w:val="nn-NO"/>
        </w:rPr>
        <w:t>Frå enkeltsak til endring</w:t>
      </w:r>
    </w:p>
    <w:p w:rsidR="008B0352" w:rsidRPr="001D0BDE" w:rsidRDefault="00DB0B23" w:rsidP="00650938">
      <w:pPr>
        <w:rPr>
          <w:lang w:val="nn-NO"/>
        </w:rPr>
      </w:pPr>
      <w:r w:rsidRPr="00DB0B23">
        <w:rPr>
          <w:lang w:val="nn-NO"/>
        </w:rPr>
        <w:t xml:space="preserve">Gjennom enkeltsakene </w:t>
      </w:r>
      <w:r>
        <w:rPr>
          <w:lang w:val="nn-NO"/>
        </w:rPr>
        <w:t>får ombodet</w:t>
      </w:r>
      <w:r w:rsidR="001D3E32">
        <w:rPr>
          <w:lang w:val="nn-NO"/>
        </w:rPr>
        <w:t xml:space="preserve"> kunnskap om problemstillingar og praksisa</w:t>
      </w:r>
      <w:r>
        <w:rPr>
          <w:lang w:val="nn-NO"/>
        </w:rPr>
        <w:t>r som</w:t>
      </w:r>
      <w:r w:rsidR="00336D25">
        <w:rPr>
          <w:lang w:val="nn-NO"/>
        </w:rPr>
        <w:t xml:space="preserve"> rammer fleire enn enkeltpersona</w:t>
      </w:r>
      <w:r w:rsidR="00C46743">
        <w:rPr>
          <w:lang w:val="nn-NO"/>
        </w:rPr>
        <w:t>ne som tek</w:t>
      </w:r>
      <w:r>
        <w:rPr>
          <w:lang w:val="nn-NO"/>
        </w:rPr>
        <w:t xml:space="preserve"> kontakt med oss. </w:t>
      </w:r>
      <w:r w:rsidRPr="001D0BDE">
        <w:rPr>
          <w:lang w:val="nn-NO"/>
        </w:rPr>
        <w:t>Ombodet</w:t>
      </w:r>
      <w:r w:rsidR="00C46743" w:rsidRPr="001D0BDE">
        <w:rPr>
          <w:lang w:val="nn-NO"/>
        </w:rPr>
        <w:t xml:space="preserve"> vil då kunne løfte problemstillinga</w:t>
      </w:r>
      <w:r w:rsidRPr="001D0BDE">
        <w:rPr>
          <w:lang w:val="nn-NO"/>
        </w:rPr>
        <w:t xml:space="preserve">ne opp </w:t>
      </w:r>
      <w:r w:rsidR="00C46743" w:rsidRPr="001D0BDE">
        <w:rPr>
          <w:lang w:val="nn-NO"/>
        </w:rPr>
        <w:t>og arbeide fo</w:t>
      </w:r>
      <w:r w:rsidRPr="001D0BDE">
        <w:rPr>
          <w:lang w:val="nn-NO"/>
        </w:rPr>
        <w:t>r å få til endring på e</w:t>
      </w:r>
      <w:r w:rsidR="00C46743" w:rsidRPr="001D0BDE">
        <w:rPr>
          <w:lang w:val="nn-NO"/>
        </w:rPr>
        <w:t>i</w:t>
      </w:r>
      <w:r w:rsidRPr="001D0BDE">
        <w:rPr>
          <w:lang w:val="nn-NO"/>
        </w:rPr>
        <w:t>t strukturelt nivå. E</w:t>
      </w:r>
      <w:r w:rsidR="00341BE0" w:rsidRPr="001D0BDE">
        <w:rPr>
          <w:lang w:val="nn-NO"/>
        </w:rPr>
        <w:t>i</w:t>
      </w:r>
      <w:r w:rsidRPr="001D0BDE">
        <w:rPr>
          <w:lang w:val="nn-NO"/>
        </w:rPr>
        <w:t>t eksempel på det</w:t>
      </w:r>
      <w:r w:rsidR="00341BE0" w:rsidRPr="001D0BDE">
        <w:rPr>
          <w:lang w:val="nn-NO"/>
        </w:rPr>
        <w:t>te er ei</w:t>
      </w:r>
      <w:r w:rsidRPr="001D0BDE">
        <w:rPr>
          <w:lang w:val="nn-NO"/>
        </w:rPr>
        <w:t xml:space="preserve"> sak frå Bergen fengsel:</w:t>
      </w:r>
    </w:p>
    <w:p w:rsidR="008B0352" w:rsidRPr="001D0BDE" w:rsidRDefault="008B0352" w:rsidP="008B0352">
      <w:pPr>
        <w:rPr>
          <w:u w:val="single"/>
          <w:lang w:val="nn-NO"/>
        </w:rPr>
      </w:pPr>
      <w:r w:rsidRPr="001D0BDE">
        <w:rPr>
          <w:u w:val="single"/>
          <w:lang w:val="nn-NO"/>
        </w:rPr>
        <w:t>Bergen fengsel</w:t>
      </w:r>
    </w:p>
    <w:p w:rsidR="008B0352" w:rsidRDefault="008B0352" w:rsidP="008B0352">
      <w:pPr>
        <w:rPr>
          <w:lang w:val="nn-NO"/>
        </w:rPr>
      </w:pPr>
      <w:r w:rsidRPr="001D0BDE">
        <w:rPr>
          <w:lang w:val="nn-NO"/>
        </w:rPr>
        <w:t>Kvinnelege innsette i Bergen fengsel tok i fjor kontakt med ombodet</w:t>
      </w:r>
      <w:r w:rsidR="00865B80" w:rsidRPr="001D0BDE">
        <w:rPr>
          <w:lang w:val="nn-NO"/>
        </w:rPr>
        <w:t xml:space="preserve"> fordi dei fe</w:t>
      </w:r>
      <w:r w:rsidRPr="001D0BDE">
        <w:rPr>
          <w:lang w:val="nn-NO"/>
        </w:rPr>
        <w:t>kk eit dårlegare tilbod under soninga enn dei mann</w:t>
      </w:r>
      <w:r w:rsidR="00E23BB1" w:rsidRPr="001D0BDE">
        <w:rPr>
          <w:lang w:val="nn-NO"/>
        </w:rPr>
        <w:t>e</w:t>
      </w:r>
      <w:r w:rsidRPr="001D0BDE">
        <w:rPr>
          <w:lang w:val="nn-NO"/>
        </w:rPr>
        <w:t xml:space="preserve">lege innsette. </w:t>
      </w:r>
      <w:r>
        <w:rPr>
          <w:lang w:val="nn-NO"/>
        </w:rPr>
        <w:t>Dei kvinnelege innsette hadde til dømes ikkje lengre tilbod om open soning innanfor regionen, noko som inneber at d</w:t>
      </w:r>
      <w:r w:rsidRPr="00913D61">
        <w:rPr>
          <w:lang w:val="nn-NO"/>
        </w:rPr>
        <w:t>e</w:t>
      </w:r>
      <w:r>
        <w:rPr>
          <w:lang w:val="nn-NO"/>
        </w:rPr>
        <w:t>i må sone langt unna familie, ba</w:t>
      </w:r>
      <w:r w:rsidRPr="00913D61">
        <w:rPr>
          <w:lang w:val="nn-NO"/>
        </w:rPr>
        <w:t xml:space="preserve">rn og nettverk </w:t>
      </w:r>
      <w:r>
        <w:rPr>
          <w:lang w:val="nn-NO"/>
        </w:rPr>
        <w:t xml:space="preserve">om </w:t>
      </w:r>
      <w:r w:rsidRPr="00913D61">
        <w:rPr>
          <w:lang w:val="nn-NO"/>
        </w:rPr>
        <w:t>dei</w:t>
      </w:r>
      <w:r>
        <w:rPr>
          <w:lang w:val="nn-NO"/>
        </w:rPr>
        <w:t xml:space="preserve"> skal sone ved eit ope fengsel. Kvinnene hadde</w:t>
      </w:r>
      <w:r w:rsidRPr="00877C25">
        <w:rPr>
          <w:lang w:val="nn-NO"/>
        </w:rPr>
        <w:t xml:space="preserve"> heller ikkje tilbod om rusme</w:t>
      </w:r>
      <w:r w:rsidR="00B32504">
        <w:rPr>
          <w:lang w:val="nn-NO"/>
        </w:rPr>
        <w:t>i</w:t>
      </w:r>
      <w:r w:rsidRPr="00877C25">
        <w:rPr>
          <w:lang w:val="nn-NO"/>
        </w:rPr>
        <w:t xml:space="preserve">string eller andre program retta mot kvinnenes </w:t>
      </w:r>
      <w:r>
        <w:rPr>
          <w:lang w:val="nn-NO"/>
        </w:rPr>
        <w:t xml:space="preserve">særskilde </w:t>
      </w:r>
      <w:r w:rsidRPr="00877C25">
        <w:rPr>
          <w:lang w:val="nn-NO"/>
        </w:rPr>
        <w:t xml:space="preserve">utfordringar. </w:t>
      </w:r>
    </w:p>
    <w:p w:rsidR="008B0352" w:rsidRPr="001B30CF" w:rsidRDefault="008B0352" w:rsidP="00650938">
      <w:pPr>
        <w:rPr>
          <w:sz w:val="22"/>
          <w:szCs w:val="22"/>
          <w:lang w:val="nn-NO"/>
        </w:rPr>
      </w:pPr>
      <w:r w:rsidRPr="00877C25">
        <w:rPr>
          <w:lang w:val="nn-NO"/>
        </w:rPr>
        <w:t>Ombodet skreiv</w:t>
      </w:r>
      <w:r>
        <w:rPr>
          <w:lang w:val="nn-NO"/>
        </w:rPr>
        <w:t xml:space="preserve"> i 2017</w:t>
      </w:r>
      <w:r w:rsidR="008C0FBB">
        <w:rPr>
          <w:lang w:val="nn-NO"/>
        </w:rPr>
        <w:t xml:space="preserve"> ein rapport om soningstilhøva</w:t>
      </w:r>
      <w:r w:rsidRPr="00877C25">
        <w:rPr>
          <w:lang w:val="nn-NO"/>
        </w:rPr>
        <w:t xml:space="preserve"> for utsette grupper i fengsel. </w:t>
      </w:r>
      <w:r>
        <w:rPr>
          <w:lang w:val="nn-NO"/>
        </w:rPr>
        <w:t xml:space="preserve">I oppfølginga av denne rapporten har vi </w:t>
      </w:r>
      <w:r w:rsidR="004C338A">
        <w:rPr>
          <w:lang w:val="nn-NO"/>
        </w:rPr>
        <w:t>arbeidt</w:t>
      </w:r>
      <w:r w:rsidRPr="00877C25">
        <w:rPr>
          <w:lang w:val="nn-NO"/>
        </w:rPr>
        <w:t xml:space="preserve"> </w:t>
      </w:r>
      <w:r w:rsidRPr="00BE79AF">
        <w:rPr>
          <w:lang w:val="nn-NO"/>
        </w:rPr>
        <w:t xml:space="preserve">særleg </w:t>
      </w:r>
      <w:r w:rsidRPr="00877C25">
        <w:rPr>
          <w:lang w:val="nn-NO"/>
        </w:rPr>
        <w:t>med rettane til kvinnelege innsette i norsk kriminalomsorg. Problema dei kvinnelege innsette i Bergen tok opp med ombodet samsvarar med utfordringane for kvinnelege innsette over heile Noreg. Ombodet har som følgje av kontakta med dei innsette i Bergen</w:t>
      </w:r>
      <w:r>
        <w:rPr>
          <w:lang w:val="nn-NO"/>
        </w:rPr>
        <w:t xml:space="preserve"> fengsel</w:t>
      </w:r>
      <w:r w:rsidRPr="00877C25">
        <w:rPr>
          <w:lang w:val="nn-NO"/>
        </w:rPr>
        <w:t xml:space="preserve">, </w:t>
      </w:r>
      <w:r>
        <w:rPr>
          <w:lang w:val="nn-NO"/>
        </w:rPr>
        <w:t>tatt</w:t>
      </w:r>
      <w:r w:rsidRPr="00877C25">
        <w:rPr>
          <w:lang w:val="nn-NO"/>
        </w:rPr>
        <w:t xml:space="preserve"> opp utfordringane deira på høyringar på Stortinget</w:t>
      </w:r>
      <w:r w:rsidR="00475BF2">
        <w:rPr>
          <w:lang w:val="nn-NO"/>
        </w:rPr>
        <w:t>, og med Kriminalomsorgen sjølv</w:t>
      </w:r>
      <w:r w:rsidRPr="00877C25">
        <w:rPr>
          <w:lang w:val="nn-NO"/>
        </w:rPr>
        <w:t xml:space="preserve">. Målsettinga er eit </w:t>
      </w:r>
      <w:r>
        <w:rPr>
          <w:lang w:val="nn-NO"/>
        </w:rPr>
        <w:t>jamstilt</w:t>
      </w:r>
      <w:r w:rsidRPr="00877C25">
        <w:rPr>
          <w:lang w:val="nn-NO"/>
        </w:rPr>
        <w:t xml:space="preserve"> soningstilbod</w:t>
      </w:r>
      <w:r>
        <w:rPr>
          <w:lang w:val="nn-NO"/>
        </w:rPr>
        <w:t>.</w:t>
      </w:r>
      <w:r w:rsidRPr="00877C25">
        <w:rPr>
          <w:lang w:val="nn-NO"/>
        </w:rPr>
        <w:t xml:space="preserve"> </w:t>
      </w:r>
    </w:p>
    <w:p w:rsidR="00650938" w:rsidRDefault="00650938" w:rsidP="00650938">
      <w:pPr>
        <w:rPr>
          <w:lang w:val="nn-NO"/>
        </w:rPr>
      </w:pPr>
    </w:p>
    <w:p w:rsidR="00650938" w:rsidRPr="00EB3AB2" w:rsidRDefault="00650938" w:rsidP="00650938">
      <w:pPr>
        <w:pStyle w:val="Overskrift2"/>
      </w:pPr>
      <w:bookmarkStart w:id="6" w:name="_Toc34915954"/>
      <w:r w:rsidRPr="00EB3AB2">
        <w:t>Førebygg</w:t>
      </w:r>
      <w:r>
        <w:t>j</w:t>
      </w:r>
      <w:r w:rsidRPr="00EB3AB2">
        <w:t>ing</w:t>
      </w:r>
      <w:bookmarkEnd w:id="6"/>
      <w:r w:rsidRPr="00EB3AB2">
        <w:t xml:space="preserve"> </w:t>
      </w:r>
    </w:p>
    <w:p w:rsidR="00650938" w:rsidRPr="006202FB" w:rsidRDefault="00650938" w:rsidP="00650938">
      <w:pPr>
        <w:rPr>
          <w:lang w:val="nn-NO"/>
        </w:rPr>
      </w:pPr>
      <w:r w:rsidRPr="004046A3">
        <w:rPr>
          <w:lang w:val="nn-NO"/>
        </w:rPr>
        <w:t xml:space="preserve">Arbeidet vårt handlar ikkje berre om å hjelpe dei som har opplevd diskriminering. </w:t>
      </w:r>
      <w:r w:rsidRPr="00A3706F">
        <w:rPr>
          <w:lang w:val="nn-NO"/>
        </w:rPr>
        <w:t xml:space="preserve">Det handlar </w:t>
      </w:r>
      <w:r>
        <w:rPr>
          <w:lang w:val="nn-NO"/>
        </w:rPr>
        <w:t>óg</w:t>
      </w:r>
      <w:r w:rsidRPr="00A3706F">
        <w:rPr>
          <w:lang w:val="nn-NO"/>
        </w:rPr>
        <w:t xml:space="preserve"> om å føre</w:t>
      </w:r>
      <w:r>
        <w:rPr>
          <w:lang w:val="nn-NO"/>
        </w:rPr>
        <w:t>byggje</w:t>
      </w:r>
      <w:r w:rsidRPr="00A3706F">
        <w:rPr>
          <w:lang w:val="nn-NO"/>
        </w:rPr>
        <w:t xml:space="preserve"> og å sikre at </w:t>
      </w:r>
      <w:r w:rsidRPr="006202FB">
        <w:rPr>
          <w:lang w:val="nn-NO"/>
        </w:rPr>
        <w:t xml:space="preserve">dei strukturane og ordningane vi har i samfunnet, faktisk </w:t>
      </w:r>
      <w:r>
        <w:rPr>
          <w:lang w:val="nn-NO"/>
        </w:rPr>
        <w:t>medverkar</w:t>
      </w:r>
      <w:r w:rsidRPr="006202FB">
        <w:rPr>
          <w:lang w:val="nn-NO"/>
        </w:rPr>
        <w:t xml:space="preserve"> til å </w:t>
      </w:r>
      <w:r>
        <w:rPr>
          <w:lang w:val="nn-NO"/>
        </w:rPr>
        <w:t>fremj</w:t>
      </w:r>
      <w:r w:rsidRPr="006202FB">
        <w:rPr>
          <w:lang w:val="nn-NO"/>
        </w:rPr>
        <w:t>e likestilling og hindre diskriminering. Mykje av rettleiin</w:t>
      </w:r>
      <w:r>
        <w:rPr>
          <w:lang w:val="nn-NO"/>
        </w:rPr>
        <w:t>gsarbeidet vårt er å gje</w:t>
      </w:r>
      <w:r w:rsidRPr="006202FB">
        <w:rPr>
          <w:lang w:val="nn-NO"/>
        </w:rPr>
        <w:t xml:space="preserve"> råd og rettleiing til arbeidsgjevarar, styresmakter og andre.</w:t>
      </w:r>
    </w:p>
    <w:p w:rsidR="00650938" w:rsidRPr="006202FB" w:rsidRDefault="00650938" w:rsidP="00650938">
      <w:pPr>
        <w:rPr>
          <w:lang w:val="nn-NO"/>
        </w:rPr>
      </w:pPr>
      <w:r>
        <w:rPr>
          <w:lang w:val="nn-NO"/>
        </w:rPr>
        <w:t>Ombodet</w:t>
      </w:r>
      <w:r w:rsidRPr="006202FB">
        <w:rPr>
          <w:lang w:val="nn-NO"/>
        </w:rPr>
        <w:t xml:space="preserve"> skal </w:t>
      </w:r>
      <w:r>
        <w:rPr>
          <w:lang w:val="nn-NO"/>
        </w:rPr>
        <w:t>peike på</w:t>
      </w:r>
      <w:r w:rsidRPr="006202FB">
        <w:rPr>
          <w:lang w:val="nn-NO"/>
        </w:rPr>
        <w:t xml:space="preserve"> samfunnsskapte barrierar som hindrar like høve, spreie informasjon om likestilling og diskriminering, og ta initiativ til debattar om både status på området og ulike verkemiddel som kan </w:t>
      </w:r>
      <w:r>
        <w:rPr>
          <w:lang w:val="nn-NO"/>
        </w:rPr>
        <w:t>nyttast</w:t>
      </w:r>
      <w:r w:rsidRPr="006202FB">
        <w:rPr>
          <w:lang w:val="nn-NO"/>
        </w:rPr>
        <w:t xml:space="preserve"> i arbeidet for eit meir likestilt samfunn.</w:t>
      </w:r>
    </w:p>
    <w:p w:rsidR="00650938" w:rsidRPr="006202FB" w:rsidRDefault="00650938" w:rsidP="00650938">
      <w:pPr>
        <w:pStyle w:val="Overskrift3"/>
      </w:pPr>
      <w:r>
        <w:br/>
        <w:t>Kurs og føredrag</w:t>
      </w:r>
    </w:p>
    <w:p w:rsidR="00650938" w:rsidRDefault="00650938" w:rsidP="00650938">
      <w:pPr>
        <w:rPr>
          <w:lang w:val="nn-NO"/>
        </w:rPr>
      </w:pPr>
      <w:r w:rsidRPr="006202FB">
        <w:rPr>
          <w:lang w:val="nn-NO"/>
        </w:rPr>
        <w:t xml:space="preserve">Det er ein viktig del av arbeidet vårt å </w:t>
      </w:r>
      <w:r w:rsidR="0031539A">
        <w:rPr>
          <w:lang w:val="nn-NO"/>
        </w:rPr>
        <w:t>gje</w:t>
      </w:r>
      <w:r w:rsidRPr="006202FB">
        <w:rPr>
          <w:lang w:val="nn-NO"/>
        </w:rPr>
        <w:t xml:space="preserve"> arbeidsgjevarar, </w:t>
      </w:r>
      <w:r w:rsidR="007B6736">
        <w:rPr>
          <w:lang w:val="nn-NO"/>
        </w:rPr>
        <w:t>arbeidstaka</w:t>
      </w:r>
      <w:r w:rsidR="009E446F">
        <w:rPr>
          <w:lang w:val="nn-NO"/>
        </w:rPr>
        <w:t xml:space="preserve">rorganisasjonar,  </w:t>
      </w:r>
      <w:r w:rsidRPr="006202FB">
        <w:rPr>
          <w:lang w:val="nn-NO"/>
        </w:rPr>
        <w:t>styresmakter og and</w:t>
      </w:r>
      <w:r>
        <w:rPr>
          <w:lang w:val="nn-NO"/>
        </w:rPr>
        <w:t>re ansvarlege kunnskap om plikte</w:t>
      </w:r>
      <w:r w:rsidRPr="006202FB">
        <w:rPr>
          <w:lang w:val="nn-NO"/>
        </w:rPr>
        <w:t>ne sine og om korleis dei skal arbeide aktivt for likestil</w:t>
      </w:r>
      <w:r>
        <w:rPr>
          <w:lang w:val="nn-NO"/>
        </w:rPr>
        <w:t>ling og</w:t>
      </w:r>
      <w:r w:rsidRPr="006202FB">
        <w:rPr>
          <w:lang w:val="nn-NO"/>
        </w:rPr>
        <w:t xml:space="preserve"> føre</w:t>
      </w:r>
      <w:r>
        <w:rPr>
          <w:lang w:val="nn-NO"/>
        </w:rPr>
        <w:t>byggje</w:t>
      </w:r>
      <w:r w:rsidRPr="006202FB">
        <w:rPr>
          <w:lang w:val="nn-NO"/>
        </w:rPr>
        <w:t xml:space="preserve"> diskriminering. </w:t>
      </w:r>
    </w:p>
    <w:p w:rsidR="00650938" w:rsidRDefault="00650938" w:rsidP="00650938">
      <w:pPr>
        <w:rPr>
          <w:lang w:val="nn-NO"/>
        </w:rPr>
      </w:pPr>
      <w:r w:rsidRPr="0084232E">
        <w:rPr>
          <w:lang w:val="nn-NO"/>
        </w:rPr>
        <w:t xml:space="preserve">For å sikre eit reelt diskrimineringsvern, er det </w:t>
      </w:r>
      <w:r>
        <w:rPr>
          <w:lang w:val="nn-NO"/>
        </w:rPr>
        <w:t>og</w:t>
      </w:r>
      <w:r w:rsidR="00A22192">
        <w:rPr>
          <w:lang w:val="nn-NO"/>
        </w:rPr>
        <w:t>så</w:t>
      </w:r>
      <w:r>
        <w:rPr>
          <w:lang w:val="nn-NO"/>
        </w:rPr>
        <w:t xml:space="preserve"> </w:t>
      </w:r>
      <w:r w:rsidRPr="0084232E">
        <w:rPr>
          <w:lang w:val="nn-NO"/>
        </w:rPr>
        <w:t>viktig at folk kjenner rettane sine. Det er man</w:t>
      </w:r>
      <w:r>
        <w:rPr>
          <w:lang w:val="nn-NO"/>
        </w:rPr>
        <w:t>ge som treng kunnskap. Føredrag og kurs</w:t>
      </w:r>
      <w:r w:rsidRPr="0084232E">
        <w:rPr>
          <w:lang w:val="nn-NO"/>
        </w:rPr>
        <w:t xml:space="preserve"> er difor ein prioritert aktivitet som gjer at vi når</w:t>
      </w:r>
      <w:r>
        <w:rPr>
          <w:lang w:val="nn-NO"/>
        </w:rPr>
        <w:t xml:space="preserve"> ut med informasjon om rettar, ombodet</w:t>
      </w:r>
      <w:r w:rsidRPr="0084232E">
        <w:rPr>
          <w:lang w:val="nn-NO"/>
        </w:rPr>
        <w:t xml:space="preserve"> sitt arbeid og utfordringar kring likestilling og diskriminering.</w:t>
      </w:r>
    </w:p>
    <w:p w:rsidR="00650938" w:rsidRPr="008929F8" w:rsidRDefault="00650938" w:rsidP="00650938">
      <w:pPr>
        <w:rPr>
          <w:lang w:val="nn-NO"/>
        </w:rPr>
      </w:pPr>
      <w:r w:rsidRPr="008929F8">
        <w:rPr>
          <w:lang w:val="nn-NO"/>
        </w:rPr>
        <w:lastRenderedPageBreak/>
        <w:t xml:space="preserve">Ombodet held om lag 130 kurs og føredrag i 2019, for omlag 5700 personar. Vi held føredrag </w:t>
      </w:r>
      <w:r w:rsidR="00DB0B23" w:rsidRPr="008929F8">
        <w:rPr>
          <w:lang w:val="nn-NO"/>
        </w:rPr>
        <w:t xml:space="preserve">for ulike </w:t>
      </w:r>
      <w:r w:rsidRPr="008929F8">
        <w:rPr>
          <w:lang w:val="nn-NO"/>
        </w:rPr>
        <w:t>organisasjonar, verksemder og arbeidstakar- og arbeidsgjevarorganisasjonar. Omfanget</w:t>
      </w:r>
      <w:r w:rsidR="00DA4C54">
        <w:rPr>
          <w:lang w:val="nn-NO"/>
        </w:rPr>
        <w:t xml:space="preserve"> av vår kursverkse</w:t>
      </w:r>
      <w:r w:rsidRPr="008929F8">
        <w:rPr>
          <w:lang w:val="nn-NO"/>
        </w:rPr>
        <w:t xml:space="preserve">md var </w:t>
      </w:r>
      <w:r w:rsidR="00DA4C54">
        <w:rPr>
          <w:lang w:val="nn-NO"/>
        </w:rPr>
        <w:t>noko</w:t>
      </w:r>
      <w:r w:rsidR="009E446F" w:rsidRPr="008929F8">
        <w:rPr>
          <w:lang w:val="nn-NO"/>
        </w:rPr>
        <w:t xml:space="preserve"> </w:t>
      </w:r>
      <w:r w:rsidRPr="008929F8">
        <w:rPr>
          <w:lang w:val="nn-NO"/>
        </w:rPr>
        <w:t>mindre i 2019 enn i 2018</w:t>
      </w:r>
      <w:r w:rsidR="000D6BBF" w:rsidRPr="008929F8">
        <w:rPr>
          <w:lang w:val="nn-NO"/>
        </w:rPr>
        <w:t xml:space="preserve"> (om lag 200 kurs og føredrag for om lag 9000 personar)</w:t>
      </w:r>
      <w:r w:rsidRPr="008929F8">
        <w:rPr>
          <w:lang w:val="nn-NO"/>
        </w:rPr>
        <w:t xml:space="preserve">. Ein </w:t>
      </w:r>
      <w:r w:rsidR="00DA4C54">
        <w:rPr>
          <w:lang w:val="nn-NO"/>
        </w:rPr>
        <w:t>å</w:t>
      </w:r>
      <w:r w:rsidRPr="008929F8">
        <w:rPr>
          <w:lang w:val="nn-NO"/>
        </w:rPr>
        <w:t xml:space="preserve">rsak </w:t>
      </w:r>
      <w:r w:rsidR="00B81350">
        <w:rPr>
          <w:lang w:val="nn-NO"/>
        </w:rPr>
        <w:t xml:space="preserve">til det </w:t>
      </w:r>
      <w:r w:rsidRPr="008929F8">
        <w:rPr>
          <w:lang w:val="nn-NO"/>
        </w:rPr>
        <w:t xml:space="preserve">er at vi i 2018 hadde ei stor satsing på å halde kurs som gjeld seksuell trakassering (i samband med #metoo). Vi har halde </w:t>
      </w:r>
      <w:r w:rsidR="00B81350">
        <w:rPr>
          <w:lang w:val="nn-NO"/>
        </w:rPr>
        <w:t>fra</w:t>
      </w:r>
      <w:r w:rsidRPr="008929F8">
        <w:rPr>
          <w:lang w:val="nn-NO"/>
        </w:rPr>
        <w:t>m med kurs og føredrag om seksuell trakasseri</w:t>
      </w:r>
      <w:r w:rsidR="00B81350">
        <w:rPr>
          <w:lang w:val="nn-NO"/>
        </w:rPr>
        <w:t>ng også i 2019, men ikkje i same</w:t>
      </w:r>
      <w:r w:rsidRPr="008929F8">
        <w:rPr>
          <w:lang w:val="nn-NO"/>
        </w:rPr>
        <w:t xml:space="preserve"> omfang som tidlegare. </w:t>
      </w:r>
    </w:p>
    <w:p w:rsidR="00650938" w:rsidRPr="00E463C5" w:rsidRDefault="00650938" w:rsidP="00650938">
      <w:pPr>
        <w:rPr>
          <w:lang w:val="nn-NO"/>
        </w:rPr>
      </w:pPr>
      <w:r>
        <w:rPr>
          <w:lang w:val="nn-NO"/>
        </w:rPr>
        <w:t xml:space="preserve">I 2019 har vi </w:t>
      </w:r>
      <w:r w:rsidRPr="00E463C5">
        <w:rPr>
          <w:lang w:val="nn-NO"/>
        </w:rPr>
        <w:t xml:space="preserve">hatt ei prioritering kor vi </w:t>
      </w:r>
      <w:r w:rsidR="00466B33">
        <w:rPr>
          <w:lang w:val="nn-NO"/>
        </w:rPr>
        <w:t>ønskjer</w:t>
      </w:r>
      <w:r w:rsidRPr="00E463C5">
        <w:rPr>
          <w:lang w:val="nn-NO"/>
        </w:rPr>
        <w:t xml:space="preserve"> å kom</w:t>
      </w:r>
      <w:r w:rsidR="00A062B2">
        <w:rPr>
          <w:lang w:val="nn-NO"/>
        </w:rPr>
        <w:t>m</w:t>
      </w:r>
      <w:r w:rsidRPr="00E463C5">
        <w:rPr>
          <w:lang w:val="nn-NO"/>
        </w:rPr>
        <w:t>e i kontakt med etniske minoritetsgrupper ved å halde kurs/</w:t>
      </w:r>
      <w:r w:rsidR="00C97ECC">
        <w:rPr>
          <w:lang w:val="nn-NO"/>
        </w:rPr>
        <w:t>føredrag</w:t>
      </w:r>
      <w:r w:rsidRPr="00E463C5">
        <w:rPr>
          <w:lang w:val="nn-NO"/>
        </w:rPr>
        <w:t xml:space="preserve">. Vi har </w:t>
      </w:r>
      <w:r>
        <w:rPr>
          <w:lang w:val="nn-NO"/>
        </w:rPr>
        <w:t xml:space="preserve">i </w:t>
      </w:r>
      <w:r w:rsidRPr="00E463C5">
        <w:rPr>
          <w:lang w:val="nn-NO"/>
        </w:rPr>
        <w:t xml:space="preserve">samband med dette haldt fleire kurs for Eminol og Kirkens Bymisjon (Prosjektet Neven). </w:t>
      </w:r>
    </w:p>
    <w:p w:rsidR="002C61C5" w:rsidRDefault="00650938" w:rsidP="00650938">
      <w:pPr>
        <w:rPr>
          <w:lang w:val="nn-NO"/>
        </w:rPr>
      </w:pPr>
      <w:r w:rsidRPr="00E463C5">
        <w:rPr>
          <w:lang w:val="nn-NO"/>
        </w:rPr>
        <w:t xml:space="preserve">Vi har </w:t>
      </w:r>
      <w:r>
        <w:rPr>
          <w:lang w:val="nn-NO"/>
        </w:rPr>
        <w:t>ó</w:t>
      </w:r>
      <w:r w:rsidR="005C076F">
        <w:rPr>
          <w:lang w:val="nn-NO"/>
        </w:rPr>
        <w:t>g gjennomført LDO-kurs to gonga</w:t>
      </w:r>
      <w:r w:rsidRPr="00E463C5">
        <w:rPr>
          <w:lang w:val="nn-NO"/>
        </w:rPr>
        <w:t>r i 2019. LDO-kurs er ei kursrekke som tek</w:t>
      </w:r>
      <w:r w:rsidR="00994441">
        <w:rPr>
          <w:lang w:val="nn-NO"/>
        </w:rPr>
        <w:t xml:space="preserve"> for seg ymse</w:t>
      </w:r>
      <w:r w:rsidRPr="00E463C5">
        <w:rPr>
          <w:lang w:val="nn-NO"/>
        </w:rPr>
        <w:t xml:space="preserve"> tema som gjeld arbeidslivet. Målgruppa for kursa er arbeidstakarf</w:t>
      </w:r>
      <w:r>
        <w:rPr>
          <w:lang w:val="nn-NO"/>
        </w:rPr>
        <w:t>oreining</w:t>
      </w:r>
      <w:r w:rsidRPr="00E463C5">
        <w:rPr>
          <w:lang w:val="nn-NO"/>
        </w:rPr>
        <w:t>ar, arbeidsgjevarfore</w:t>
      </w:r>
      <w:r>
        <w:rPr>
          <w:lang w:val="nn-NO"/>
        </w:rPr>
        <w:t>i</w:t>
      </w:r>
      <w:r w:rsidRPr="00E463C5">
        <w:rPr>
          <w:lang w:val="nn-NO"/>
        </w:rPr>
        <w:t xml:space="preserve">ningar og representantar frå private og offentlege arbeidsgjevarar. Seks halvdagskurs vart gjennomførte i Oslo i 2019. </w:t>
      </w:r>
    </w:p>
    <w:p w:rsidR="00650938" w:rsidRPr="00E463C5" w:rsidRDefault="00650938" w:rsidP="00650938">
      <w:pPr>
        <w:rPr>
          <w:lang w:val="nn-NO"/>
        </w:rPr>
      </w:pPr>
      <w:r w:rsidRPr="00E463C5">
        <w:rPr>
          <w:lang w:val="nn-NO"/>
        </w:rPr>
        <w:t xml:space="preserve">I 2019 utarbeida </w:t>
      </w:r>
      <w:r>
        <w:rPr>
          <w:lang w:val="nn-NO"/>
        </w:rPr>
        <w:t xml:space="preserve">vi </w:t>
      </w:r>
      <w:r w:rsidRPr="00E463C5">
        <w:rPr>
          <w:lang w:val="nn-NO"/>
        </w:rPr>
        <w:t>to nye kurs. Eit med tema seksuell orientering og kjønnsidentitet/kjønnsuttrykk i arbei</w:t>
      </w:r>
      <w:r>
        <w:rPr>
          <w:lang w:val="nn-NO"/>
        </w:rPr>
        <w:t>dslivet, og eit om arbeidsgjevar si aktivitets- og utgreiings</w:t>
      </w:r>
      <w:r w:rsidRPr="00E463C5">
        <w:rPr>
          <w:lang w:val="nn-NO"/>
        </w:rPr>
        <w:t>plikt.</w:t>
      </w:r>
      <w:r>
        <w:rPr>
          <w:lang w:val="nn-NO"/>
        </w:rPr>
        <w:t xml:space="preserve"> </w:t>
      </w:r>
      <w:r w:rsidRPr="00E463C5">
        <w:rPr>
          <w:lang w:val="nn-NO"/>
        </w:rPr>
        <w:t xml:space="preserve">Kursa hadde mellom 20-60 deltakarar. Vi held </w:t>
      </w:r>
      <w:r w:rsidR="00774F4A">
        <w:rPr>
          <w:lang w:val="nn-NO"/>
        </w:rPr>
        <w:t>fra</w:t>
      </w:r>
      <w:r w:rsidRPr="00E463C5">
        <w:rPr>
          <w:lang w:val="nn-NO"/>
        </w:rPr>
        <w:t xml:space="preserve">m med desse kursa også i 2020. </w:t>
      </w:r>
    </w:p>
    <w:p w:rsidR="00650938" w:rsidRDefault="00650938" w:rsidP="00650938">
      <w:pPr>
        <w:rPr>
          <w:lang w:val="nn-NO"/>
        </w:rPr>
      </w:pPr>
      <w:r w:rsidRPr="00E463C5">
        <w:rPr>
          <w:lang w:val="nn-NO"/>
        </w:rPr>
        <w:t>Vidare har vi i 2019 halde regionale LDO-kurs i samarbeid med likestilling</w:t>
      </w:r>
      <w:r w:rsidR="001A6059">
        <w:rPr>
          <w:lang w:val="nn-NO"/>
        </w:rPr>
        <w:t>s</w:t>
      </w:r>
      <w:r w:rsidRPr="00E463C5">
        <w:rPr>
          <w:lang w:val="nn-NO"/>
        </w:rPr>
        <w:t>sentera. Også desse kursa har handla om diskriminering i arbeidslivet</w:t>
      </w:r>
      <w:r>
        <w:rPr>
          <w:lang w:val="nn-NO"/>
        </w:rPr>
        <w:t xml:space="preserve">. I Kristiansand </w:t>
      </w:r>
      <w:r w:rsidR="001F3C41">
        <w:rPr>
          <w:lang w:val="nn-NO"/>
        </w:rPr>
        <w:t>hadde vi fire halvdagskurs, medan</w:t>
      </w:r>
      <w:r>
        <w:rPr>
          <w:lang w:val="nn-NO"/>
        </w:rPr>
        <w:t xml:space="preserve"> vi i Grimstad hadde to halvdagskurs.</w:t>
      </w:r>
    </w:p>
    <w:p w:rsidR="002C61C5" w:rsidRDefault="002C61C5" w:rsidP="00650938">
      <w:pPr>
        <w:rPr>
          <w:lang w:val="nn-NO"/>
        </w:rPr>
      </w:pPr>
      <w:r>
        <w:rPr>
          <w:lang w:val="nn-NO"/>
        </w:rPr>
        <w:br/>
      </w:r>
    </w:p>
    <w:p w:rsidR="002C61C5" w:rsidRDefault="002C61C5">
      <w:pPr>
        <w:spacing w:before="0" w:after="160" w:line="259" w:lineRule="auto"/>
        <w:rPr>
          <w:lang w:val="nn-NO"/>
        </w:rPr>
      </w:pPr>
      <w:r>
        <w:rPr>
          <w:lang w:val="nn-NO"/>
        </w:rPr>
        <w:br w:type="page"/>
      </w:r>
    </w:p>
    <w:tbl>
      <w:tblPr>
        <w:tblW w:w="6400" w:type="dxa"/>
        <w:tblCellMar>
          <w:left w:w="0" w:type="dxa"/>
          <w:right w:w="0" w:type="dxa"/>
        </w:tblCellMar>
        <w:tblLook w:val="04A0" w:firstRow="1" w:lastRow="0" w:firstColumn="1" w:lastColumn="0" w:noHBand="0" w:noVBand="1"/>
      </w:tblPr>
      <w:tblGrid>
        <w:gridCol w:w="1860"/>
        <w:gridCol w:w="1500"/>
        <w:gridCol w:w="3040"/>
      </w:tblGrid>
      <w:tr w:rsidR="00650938" w:rsidTr="006A0EE9">
        <w:trPr>
          <w:trHeight w:val="300"/>
        </w:trPr>
        <w:tc>
          <w:tcPr>
            <w:tcW w:w="186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Default="00650938" w:rsidP="006A0EE9">
            <w:pPr>
              <w:rPr>
                <w:b/>
                <w:bCs/>
                <w:color w:val="000000"/>
                <w:sz w:val="22"/>
                <w:szCs w:val="22"/>
                <w:lang w:eastAsia="nn-NO"/>
              </w:rPr>
            </w:pPr>
            <w:r>
              <w:rPr>
                <w:b/>
                <w:bCs/>
                <w:color w:val="000000"/>
                <w:lang w:eastAsia="nn-NO"/>
              </w:rPr>
              <w:lastRenderedPageBreak/>
              <w:t>Region</w:t>
            </w:r>
          </w:p>
        </w:tc>
        <w:tc>
          <w:tcPr>
            <w:tcW w:w="150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Default="004035DC" w:rsidP="006A0EE9">
            <w:pPr>
              <w:rPr>
                <w:b/>
                <w:bCs/>
                <w:color w:val="000000"/>
                <w:lang w:eastAsia="nn-NO"/>
              </w:rPr>
            </w:pPr>
            <w:r>
              <w:rPr>
                <w:b/>
                <w:bCs/>
                <w:color w:val="000000"/>
                <w:lang w:eastAsia="nn-NO"/>
              </w:rPr>
              <w:t>Tal på</w:t>
            </w:r>
            <w:r w:rsidR="00650938">
              <w:rPr>
                <w:b/>
                <w:bCs/>
                <w:color w:val="000000"/>
                <w:lang w:eastAsia="nn-NO"/>
              </w:rPr>
              <w:t xml:space="preserve"> føredrag</w:t>
            </w:r>
          </w:p>
        </w:tc>
        <w:tc>
          <w:tcPr>
            <w:tcW w:w="304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50938" w:rsidRDefault="004035DC" w:rsidP="006A0EE9">
            <w:pPr>
              <w:rPr>
                <w:b/>
                <w:bCs/>
                <w:color w:val="000000"/>
                <w:lang w:eastAsia="nn-NO"/>
              </w:rPr>
            </w:pPr>
            <w:r>
              <w:rPr>
                <w:b/>
                <w:bCs/>
                <w:color w:val="000000"/>
                <w:lang w:eastAsia="nn-NO"/>
              </w:rPr>
              <w:t xml:space="preserve">Tal på </w:t>
            </w:r>
            <w:r w:rsidR="00E35D76">
              <w:rPr>
                <w:b/>
                <w:bCs/>
                <w:color w:val="000000"/>
                <w:lang w:eastAsia="nn-NO"/>
              </w:rPr>
              <w:t xml:space="preserve"> </w:t>
            </w:r>
            <w:r w:rsidR="00E35D76">
              <w:rPr>
                <w:b/>
                <w:bCs/>
                <w:color w:val="000000"/>
                <w:lang w:eastAsia="nn-NO"/>
              </w:rPr>
              <w:br/>
              <w:t>tilhøyrarar</w:t>
            </w:r>
            <w:r w:rsidR="00650938">
              <w:rPr>
                <w:b/>
                <w:bCs/>
                <w:color w:val="000000"/>
                <w:lang w:eastAsia="nn-NO"/>
              </w:rPr>
              <w:t xml:space="preserve"> (ca)</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Agder</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13</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400</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Hedmark-Oppland</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90</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Nordland</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30</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Oslo</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79</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3417</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Rogaland</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45</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Telemark-Vestfold</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15</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Troms-Finnmark</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3</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132</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Trøndelag</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200</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Utlandet</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180</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Vestlandet</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95</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Viken</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16</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847</w:t>
            </w:r>
          </w:p>
        </w:tc>
      </w:tr>
      <w:tr w:rsidR="00650938" w:rsidTr="006A0EE9">
        <w:trPr>
          <w:trHeight w:val="300"/>
        </w:trPr>
        <w:tc>
          <w:tcPr>
            <w:tcW w:w="1860" w:type="dxa"/>
            <w:noWrap/>
            <w:tcMar>
              <w:top w:w="0" w:type="dxa"/>
              <w:left w:w="70" w:type="dxa"/>
              <w:bottom w:w="0" w:type="dxa"/>
              <w:right w:w="70" w:type="dxa"/>
            </w:tcMar>
            <w:vAlign w:val="bottom"/>
            <w:hideMark/>
          </w:tcPr>
          <w:p w:rsidR="00650938" w:rsidRDefault="00650938" w:rsidP="006A0EE9">
            <w:pPr>
              <w:rPr>
                <w:color w:val="000000"/>
                <w:lang w:eastAsia="nn-NO"/>
              </w:rPr>
            </w:pPr>
            <w:r>
              <w:rPr>
                <w:color w:val="000000"/>
                <w:lang w:eastAsia="nn-NO"/>
              </w:rPr>
              <w:t>(tom)</w:t>
            </w:r>
          </w:p>
        </w:tc>
        <w:tc>
          <w:tcPr>
            <w:tcW w:w="150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6</w:t>
            </w:r>
          </w:p>
        </w:tc>
        <w:tc>
          <w:tcPr>
            <w:tcW w:w="3040" w:type="dxa"/>
            <w:noWrap/>
            <w:tcMar>
              <w:top w:w="0" w:type="dxa"/>
              <w:left w:w="70" w:type="dxa"/>
              <w:bottom w:w="0" w:type="dxa"/>
              <w:right w:w="70" w:type="dxa"/>
            </w:tcMar>
            <w:vAlign w:val="bottom"/>
            <w:hideMark/>
          </w:tcPr>
          <w:p w:rsidR="00650938" w:rsidRDefault="00650938" w:rsidP="006A0EE9">
            <w:pPr>
              <w:jc w:val="right"/>
              <w:rPr>
                <w:color w:val="000000"/>
                <w:lang w:eastAsia="nn-NO"/>
              </w:rPr>
            </w:pPr>
            <w:r>
              <w:rPr>
                <w:color w:val="000000"/>
                <w:lang w:eastAsia="nn-NO"/>
              </w:rPr>
              <w:t>225</w:t>
            </w:r>
          </w:p>
        </w:tc>
      </w:tr>
      <w:tr w:rsidR="00650938" w:rsidTr="006A0EE9">
        <w:trPr>
          <w:trHeight w:val="300"/>
        </w:trPr>
        <w:tc>
          <w:tcPr>
            <w:tcW w:w="186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Default="00650938" w:rsidP="006A0EE9">
            <w:pPr>
              <w:rPr>
                <w:b/>
                <w:bCs/>
                <w:color w:val="000000"/>
                <w:lang w:eastAsia="nn-NO"/>
              </w:rPr>
            </w:pPr>
            <w:r>
              <w:rPr>
                <w:b/>
                <w:bCs/>
                <w:color w:val="000000"/>
                <w:lang w:eastAsia="nn-NO"/>
              </w:rPr>
              <w:t>Totalsum</w:t>
            </w:r>
          </w:p>
        </w:tc>
        <w:tc>
          <w:tcPr>
            <w:tcW w:w="150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Default="00650938" w:rsidP="006A0EE9">
            <w:pPr>
              <w:jc w:val="right"/>
              <w:rPr>
                <w:b/>
                <w:bCs/>
                <w:color w:val="000000"/>
                <w:lang w:eastAsia="nn-NO"/>
              </w:rPr>
            </w:pPr>
            <w:r>
              <w:rPr>
                <w:b/>
                <w:bCs/>
                <w:color w:val="000000"/>
                <w:lang w:eastAsia="nn-NO"/>
              </w:rPr>
              <w:t>129</w:t>
            </w:r>
          </w:p>
        </w:tc>
        <w:tc>
          <w:tcPr>
            <w:tcW w:w="304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50938" w:rsidRDefault="00650938" w:rsidP="006A0EE9">
            <w:pPr>
              <w:jc w:val="right"/>
              <w:rPr>
                <w:b/>
                <w:bCs/>
                <w:color w:val="000000"/>
                <w:lang w:eastAsia="nn-NO"/>
              </w:rPr>
            </w:pPr>
            <w:r>
              <w:rPr>
                <w:b/>
                <w:bCs/>
                <w:color w:val="000000"/>
                <w:lang w:eastAsia="nn-NO"/>
              </w:rPr>
              <w:t>5676</w:t>
            </w:r>
          </w:p>
        </w:tc>
      </w:tr>
    </w:tbl>
    <w:p w:rsidR="00432F2F" w:rsidRDefault="00432F2F" w:rsidP="00650938">
      <w:pPr>
        <w:rPr>
          <w:b/>
          <w:lang w:val="nn-NO"/>
        </w:rPr>
      </w:pPr>
    </w:p>
    <w:p w:rsidR="00650938" w:rsidRPr="00EB3AB2" w:rsidRDefault="00650938" w:rsidP="00650938">
      <w:pPr>
        <w:rPr>
          <w:b/>
          <w:lang w:val="nn-NO"/>
        </w:rPr>
      </w:pPr>
      <w:r w:rsidRPr="00EB3AB2">
        <w:rPr>
          <w:b/>
          <w:lang w:val="nn-NO"/>
        </w:rPr>
        <w:t>Vitjingar frå utanlandske delegasjonar</w:t>
      </w:r>
    </w:p>
    <w:p w:rsidR="00650938" w:rsidRDefault="00650938" w:rsidP="00650938">
      <w:pPr>
        <w:rPr>
          <w:lang w:val="nn-NO"/>
        </w:rPr>
      </w:pPr>
      <w:r w:rsidRPr="00EB3AB2">
        <w:rPr>
          <w:lang w:val="nn-NO"/>
        </w:rPr>
        <w:t xml:space="preserve">Vi tek jamleg imot vitjing frå utanlandske delegasjonar som </w:t>
      </w:r>
      <w:r>
        <w:rPr>
          <w:lang w:val="nn-NO"/>
        </w:rPr>
        <w:t>ønskjer</w:t>
      </w:r>
      <w:r w:rsidRPr="00EB3AB2">
        <w:rPr>
          <w:lang w:val="nn-NO"/>
        </w:rPr>
        <w:t xml:space="preserve"> kunnskap om likestillings- og diskrimineringslova, ombodsordninga og arbeidet vårt. Vi får førespurnader frå mellom anna Utanriksdeparte</w:t>
      </w:r>
      <w:r w:rsidR="0066648B">
        <w:rPr>
          <w:lang w:val="nn-NO"/>
        </w:rPr>
        <w:t>men</w:t>
      </w:r>
      <w:r w:rsidR="00E57AF3">
        <w:rPr>
          <w:lang w:val="nn-NO"/>
        </w:rPr>
        <w:t>t</w:t>
      </w:r>
      <w:r w:rsidRPr="00EB3AB2">
        <w:rPr>
          <w:lang w:val="nn-NO"/>
        </w:rPr>
        <w:t>et og Noregs ambassadar.</w:t>
      </w:r>
      <w:r>
        <w:rPr>
          <w:lang w:val="nn-NO"/>
        </w:rPr>
        <w:t xml:space="preserve">  </w:t>
      </w:r>
    </w:p>
    <w:p w:rsidR="00D97D2B" w:rsidRDefault="00D97D2B" w:rsidP="00650938">
      <w:pPr>
        <w:rPr>
          <w:lang w:val="nn-NO"/>
        </w:rPr>
      </w:pPr>
    </w:p>
    <w:p w:rsidR="00D97D2B" w:rsidRPr="00675F49" w:rsidRDefault="00D97D2B" w:rsidP="00D97D2B">
      <w:pPr>
        <w:rPr>
          <w:b/>
          <w:lang w:val="nn-NO"/>
        </w:rPr>
      </w:pPr>
      <w:r w:rsidRPr="00675F49">
        <w:rPr>
          <w:b/>
          <w:lang w:val="nn-NO"/>
        </w:rPr>
        <w:t>Media</w:t>
      </w:r>
    </w:p>
    <w:p w:rsidR="00D97D2B" w:rsidRPr="00AE030E" w:rsidRDefault="00D97D2B" w:rsidP="00D97D2B">
      <w:pPr>
        <w:rPr>
          <w:lang w:val="nn-NO"/>
        </w:rPr>
      </w:pPr>
      <w:r w:rsidRPr="00675F49">
        <w:rPr>
          <w:lang w:val="nn-NO"/>
        </w:rPr>
        <w:t xml:space="preserve">I løpet av 2019 har </w:t>
      </w:r>
      <w:r w:rsidR="00255232" w:rsidRPr="00675F49">
        <w:rPr>
          <w:lang w:val="nn-NO"/>
        </w:rPr>
        <w:t>ombodet</w:t>
      </w:r>
      <w:r w:rsidR="0012780E">
        <w:rPr>
          <w:lang w:val="nn-NO"/>
        </w:rPr>
        <w:t xml:space="preserve"> markert seg i ei</w:t>
      </w:r>
      <w:r w:rsidRPr="00675F49">
        <w:rPr>
          <w:lang w:val="nn-NO"/>
        </w:rPr>
        <w:t xml:space="preserve"> rekke</w:t>
      </w:r>
      <w:r w:rsidR="00CE2269">
        <w:rPr>
          <w:lang w:val="nn-NO"/>
        </w:rPr>
        <w:t xml:space="preserve"> nasjonale og lokale mediekanala</w:t>
      </w:r>
      <w:r w:rsidRPr="00675F49">
        <w:rPr>
          <w:lang w:val="nn-NO"/>
        </w:rPr>
        <w:t>r. Vi har hatt kron</w:t>
      </w:r>
      <w:r w:rsidR="000B5002">
        <w:rPr>
          <w:lang w:val="nn-NO"/>
        </w:rPr>
        <w:t>ikkar i landsdekkjande</w:t>
      </w:r>
      <w:r w:rsidRPr="00675F49">
        <w:rPr>
          <w:lang w:val="nn-NO"/>
        </w:rPr>
        <w:t xml:space="preserve"> aviser om tematikk som blant </w:t>
      </w:r>
      <w:r w:rsidR="00E57AF3">
        <w:rPr>
          <w:lang w:val="nn-NO"/>
        </w:rPr>
        <w:t>anna</w:t>
      </w:r>
      <w:r w:rsidRPr="00675F49">
        <w:rPr>
          <w:lang w:val="nn-NO"/>
        </w:rPr>
        <w:t xml:space="preserve"> </w:t>
      </w:r>
      <w:r w:rsidR="0006364D">
        <w:rPr>
          <w:lang w:val="nn-NO"/>
        </w:rPr>
        <w:t xml:space="preserve">er knytt til </w:t>
      </w:r>
      <w:r w:rsidR="00383EF6">
        <w:rPr>
          <w:lang w:val="nn-NO"/>
        </w:rPr>
        <w:t xml:space="preserve">vold i nære </w:t>
      </w:r>
      <w:r w:rsidR="00383EF6" w:rsidRPr="00AE030E">
        <w:rPr>
          <w:lang w:val="nn-NO"/>
        </w:rPr>
        <w:t>relasjona</w:t>
      </w:r>
      <w:r w:rsidR="00E91066">
        <w:rPr>
          <w:lang w:val="nn-NO"/>
        </w:rPr>
        <w:t>r, seksuell trakassering, verjemål, mannsrolla</w:t>
      </w:r>
      <w:r w:rsidRPr="00AE030E">
        <w:rPr>
          <w:lang w:val="nn-NO"/>
        </w:rPr>
        <w:t>, kvinner i fengsel, og aktivitet</w:t>
      </w:r>
      <w:r w:rsidR="00383EF6" w:rsidRPr="00AE030E">
        <w:rPr>
          <w:lang w:val="nn-NO"/>
        </w:rPr>
        <w:t>s- og utgreiingsplikta</w:t>
      </w:r>
      <w:r w:rsidRPr="00AE030E">
        <w:rPr>
          <w:lang w:val="nn-NO"/>
        </w:rPr>
        <w:t xml:space="preserve">. </w:t>
      </w:r>
      <w:r w:rsidR="00255232" w:rsidRPr="00AE030E">
        <w:rPr>
          <w:lang w:val="nn-NO"/>
        </w:rPr>
        <w:t>Ombodet</w:t>
      </w:r>
      <w:r w:rsidR="000276B5" w:rsidRPr="00AE030E">
        <w:rPr>
          <w:lang w:val="nn-NO"/>
        </w:rPr>
        <w:t xml:space="preserve"> har både på eige</w:t>
      </w:r>
      <w:r w:rsidRPr="00AE030E">
        <w:rPr>
          <w:lang w:val="nn-NO"/>
        </w:rPr>
        <w:t xml:space="preserve"> initiativ, men </w:t>
      </w:r>
      <w:r w:rsidR="000276B5" w:rsidRPr="00AE030E">
        <w:rPr>
          <w:lang w:val="nn-NO"/>
        </w:rPr>
        <w:t>også på bakgrunn av førespurnad</w:t>
      </w:r>
      <w:r w:rsidRPr="00AE030E">
        <w:rPr>
          <w:lang w:val="nn-NO"/>
        </w:rPr>
        <w:t xml:space="preserve"> </w:t>
      </w:r>
      <w:r w:rsidR="00AE6728" w:rsidRPr="00AE030E">
        <w:rPr>
          <w:lang w:val="nn-NO"/>
        </w:rPr>
        <w:t>frå</w:t>
      </w:r>
      <w:r w:rsidR="000276B5" w:rsidRPr="00AE030E">
        <w:rPr>
          <w:lang w:val="nn-NO"/>
        </w:rPr>
        <w:t xml:space="preserve"> aviser, TV-kanalar og radiostasjona</w:t>
      </w:r>
      <w:r w:rsidR="00721965" w:rsidRPr="00AE030E">
        <w:rPr>
          <w:lang w:val="nn-NO"/>
        </w:rPr>
        <w:t>r uttala</w:t>
      </w:r>
      <w:r w:rsidR="000276B5" w:rsidRPr="00AE030E">
        <w:rPr>
          <w:lang w:val="nn-NO"/>
        </w:rPr>
        <w:t xml:space="preserve"> seg og formidla</w:t>
      </w:r>
      <w:r w:rsidR="00721965" w:rsidRPr="00AE030E">
        <w:rPr>
          <w:lang w:val="nn-NO"/>
        </w:rPr>
        <w:t xml:space="preserve"> bo</w:t>
      </w:r>
      <w:r w:rsidR="00C24507" w:rsidRPr="00AE030E">
        <w:rPr>
          <w:lang w:val="nn-NO"/>
        </w:rPr>
        <w:t>dskap som handlar om</w:t>
      </w:r>
      <w:r w:rsidRPr="00AE030E">
        <w:rPr>
          <w:lang w:val="nn-NO"/>
        </w:rPr>
        <w:t xml:space="preserve"> tvangsbruk i psykiatrien, kjønnsdelt arbeidsliv, FN</w:t>
      </w:r>
      <w:r w:rsidR="000A741B" w:rsidRPr="00AE030E">
        <w:rPr>
          <w:lang w:val="nn-NO"/>
        </w:rPr>
        <w:t>-konvensjonar, hatytringa</w:t>
      </w:r>
      <w:r w:rsidRPr="00AE030E">
        <w:rPr>
          <w:lang w:val="nn-NO"/>
        </w:rPr>
        <w:t>r, etnisk diskriminering i arbeidslivet o</w:t>
      </w:r>
      <w:r w:rsidR="00122B49">
        <w:rPr>
          <w:lang w:val="nn-NO"/>
        </w:rPr>
        <w:t>g handlingsplana</w:t>
      </w:r>
      <w:r w:rsidR="000A741B" w:rsidRPr="00AE030E">
        <w:rPr>
          <w:lang w:val="nn-NO"/>
        </w:rPr>
        <w:t>r som er knytt</w:t>
      </w:r>
      <w:r w:rsidR="008D34DC" w:rsidRPr="00AE030E">
        <w:rPr>
          <w:lang w:val="nn-NO"/>
        </w:rPr>
        <w:t>e</w:t>
      </w:r>
      <w:r w:rsidRPr="00AE030E">
        <w:rPr>
          <w:lang w:val="nn-NO"/>
        </w:rPr>
        <w:t xml:space="preserve"> til </w:t>
      </w:r>
      <w:r w:rsidR="00255232" w:rsidRPr="00AE030E">
        <w:rPr>
          <w:lang w:val="nn-NO"/>
        </w:rPr>
        <w:t>ombodet</w:t>
      </w:r>
      <w:r w:rsidRPr="00AE030E">
        <w:rPr>
          <w:lang w:val="nn-NO"/>
        </w:rPr>
        <w:t>s mandat.</w:t>
      </w:r>
    </w:p>
    <w:p w:rsidR="00D97D2B" w:rsidRPr="001D0BDE" w:rsidRDefault="00D97D2B" w:rsidP="00650938">
      <w:pPr>
        <w:rPr>
          <w:lang w:val="nn-NO"/>
        </w:rPr>
      </w:pPr>
      <w:r w:rsidRPr="00AE030E">
        <w:rPr>
          <w:lang w:val="nn-NO"/>
        </w:rPr>
        <w:t xml:space="preserve">I løpet av 2019 </w:t>
      </w:r>
      <w:r w:rsidR="00473CEF" w:rsidRPr="00AE030E">
        <w:rPr>
          <w:lang w:val="nn-NO"/>
        </w:rPr>
        <w:t>fekk</w:t>
      </w:r>
      <w:r w:rsidRPr="00AE030E">
        <w:rPr>
          <w:lang w:val="nn-NO"/>
        </w:rPr>
        <w:t xml:space="preserve"> </w:t>
      </w:r>
      <w:r w:rsidR="00255232" w:rsidRPr="00AE030E">
        <w:rPr>
          <w:lang w:val="nn-NO"/>
        </w:rPr>
        <w:t>ombodet</w:t>
      </w:r>
      <w:r w:rsidRPr="00AE030E">
        <w:rPr>
          <w:lang w:val="nn-NO"/>
        </w:rPr>
        <w:t xml:space="preserve">s pressekontakt 205 </w:t>
      </w:r>
      <w:r w:rsidR="00473CEF" w:rsidRPr="00AE030E">
        <w:rPr>
          <w:lang w:val="nn-NO"/>
        </w:rPr>
        <w:t xml:space="preserve">spørsmål og førespurnader frå medier som </w:t>
      </w:r>
      <w:r w:rsidR="0064446C" w:rsidRPr="00AE030E">
        <w:rPr>
          <w:lang w:val="nn-NO"/>
        </w:rPr>
        <w:t xml:space="preserve">ombodet uttalte seg i. </w:t>
      </w:r>
      <w:r w:rsidRPr="00AE030E">
        <w:rPr>
          <w:lang w:val="nn-NO"/>
        </w:rPr>
        <w:t>I</w:t>
      </w:r>
      <w:r w:rsidRPr="001D0BDE">
        <w:rPr>
          <w:lang w:val="nn-NO"/>
        </w:rPr>
        <w:t xml:space="preserve"> tillegg </w:t>
      </w:r>
      <w:r w:rsidR="00473CEF" w:rsidRPr="001D0BDE">
        <w:rPr>
          <w:lang w:val="nn-NO"/>
        </w:rPr>
        <w:t>fekk</w:t>
      </w:r>
      <w:r w:rsidRPr="001D0BDE">
        <w:rPr>
          <w:lang w:val="nn-NO"/>
        </w:rPr>
        <w:t xml:space="preserve"> vi medieomtale i 85 saker der kommunikasjonsansatte stod for innsalget</w:t>
      </w:r>
      <w:r w:rsidR="00A662F9" w:rsidRPr="001D0BDE">
        <w:rPr>
          <w:lang w:val="nn-NO"/>
        </w:rPr>
        <w:t xml:space="preserve"> av bod</w:t>
      </w:r>
      <w:r w:rsidRPr="001D0BDE">
        <w:rPr>
          <w:lang w:val="nn-NO"/>
        </w:rPr>
        <w:t xml:space="preserve">skapet. </w:t>
      </w:r>
      <w:r w:rsidR="00255232" w:rsidRPr="001D0BDE">
        <w:rPr>
          <w:lang w:val="nn-NO"/>
        </w:rPr>
        <w:t>Ombodet</w:t>
      </w:r>
      <w:r w:rsidR="00721537" w:rsidRPr="001D0BDE">
        <w:rPr>
          <w:lang w:val="nn-NO"/>
        </w:rPr>
        <w:t xml:space="preserve"> si </w:t>
      </w:r>
      <w:r w:rsidRPr="001D0BDE">
        <w:rPr>
          <w:lang w:val="nn-NO"/>
        </w:rPr>
        <w:t xml:space="preserve">Facebook side hadde </w:t>
      </w:r>
      <w:r w:rsidR="00721965" w:rsidRPr="001D0BDE">
        <w:rPr>
          <w:lang w:val="nn-NO"/>
        </w:rPr>
        <w:t xml:space="preserve">i 2019, </w:t>
      </w:r>
      <w:r w:rsidR="004220B1">
        <w:rPr>
          <w:lang w:val="nn-NO"/>
        </w:rPr>
        <w:t xml:space="preserve"> 160 tekst, bilete</w:t>
      </w:r>
      <w:r w:rsidRPr="001D0BDE">
        <w:rPr>
          <w:lang w:val="nn-NO"/>
        </w:rPr>
        <w:t xml:space="preserve"> og videoinnlegg. V</w:t>
      </w:r>
      <w:r w:rsidR="0085793B">
        <w:rPr>
          <w:lang w:val="nn-NO"/>
        </w:rPr>
        <w:t>i gjennomførte også tre kampanja</w:t>
      </w:r>
      <w:r w:rsidRPr="001D0BDE">
        <w:rPr>
          <w:lang w:val="nn-NO"/>
        </w:rPr>
        <w:t xml:space="preserve">r med god </w:t>
      </w:r>
      <w:r w:rsidR="00D663E6" w:rsidRPr="001D0BDE">
        <w:rPr>
          <w:lang w:val="nn-NO"/>
        </w:rPr>
        <w:t>spreiing</w:t>
      </w:r>
      <w:r w:rsidRPr="001D0BDE">
        <w:rPr>
          <w:lang w:val="nn-NO"/>
        </w:rPr>
        <w:t xml:space="preserve"> på sosiale medier med </w:t>
      </w:r>
      <w:r w:rsidR="007B5CD7" w:rsidRPr="001D0BDE">
        <w:rPr>
          <w:lang w:val="nn-NO"/>
        </w:rPr>
        <w:lastRenderedPageBreak/>
        <w:t>temaa</w:t>
      </w:r>
      <w:r w:rsidRPr="001D0BDE">
        <w:rPr>
          <w:lang w:val="nn-NO"/>
        </w:rPr>
        <w:t xml:space="preserve"> aldersdiskriminering, seksuell trakassering i utelivsbransjen, og </w:t>
      </w:r>
      <w:r w:rsidR="00D663E6" w:rsidRPr="001D0BDE">
        <w:rPr>
          <w:lang w:val="nn-NO"/>
        </w:rPr>
        <w:t>haldningar omkring seksuell</w:t>
      </w:r>
      <w:r w:rsidRPr="001D0BDE">
        <w:rPr>
          <w:lang w:val="nn-NO"/>
        </w:rPr>
        <w:t xml:space="preserve"> trakassering blant russ.    </w:t>
      </w:r>
    </w:p>
    <w:p w:rsidR="00650938" w:rsidRPr="001D0BDE" w:rsidRDefault="00650938" w:rsidP="00650938">
      <w:pPr>
        <w:rPr>
          <w:lang w:val="nn-NO"/>
        </w:rPr>
      </w:pPr>
    </w:p>
    <w:p w:rsidR="00650938" w:rsidRPr="00833096" w:rsidRDefault="00650938" w:rsidP="00650938">
      <w:pPr>
        <w:pStyle w:val="Overskrift2"/>
      </w:pPr>
      <w:bookmarkStart w:id="7" w:name="_Toc34915955"/>
      <w:r w:rsidRPr="00833096">
        <w:t>Arrange</w:t>
      </w:r>
      <w:r w:rsidR="00BD5F8B">
        <w:t>me</w:t>
      </w:r>
      <w:r w:rsidR="00E57AF3">
        <w:t>nt</w:t>
      </w:r>
      <w:r w:rsidRPr="00833096">
        <w:t xml:space="preserve"> og debattmøte</w:t>
      </w:r>
      <w:bookmarkEnd w:id="7"/>
    </w:p>
    <w:p w:rsidR="00650938" w:rsidRDefault="00650938" w:rsidP="00650938">
      <w:pPr>
        <w:rPr>
          <w:lang w:val="nn-NO"/>
        </w:rPr>
      </w:pPr>
      <w:r w:rsidRPr="006202FB">
        <w:rPr>
          <w:lang w:val="nn-NO"/>
        </w:rPr>
        <w:t>LDO skal v</w:t>
      </w:r>
      <w:r>
        <w:rPr>
          <w:lang w:val="nn-NO"/>
        </w:rPr>
        <w:t>e</w:t>
      </w:r>
      <w:r w:rsidRPr="006202FB">
        <w:rPr>
          <w:lang w:val="nn-NO"/>
        </w:rPr>
        <w:t xml:space="preserve">re eit møtepunkt for aktørar på likestillingsfeltet. </w:t>
      </w:r>
      <w:r>
        <w:rPr>
          <w:lang w:val="nn-NO"/>
        </w:rPr>
        <w:t xml:space="preserve">Gjennom året laga vi fleire </w:t>
      </w:r>
      <w:r w:rsidRPr="006202FB">
        <w:rPr>
          <w:lang w:val="nn-NO"/>
        </w:rPr>
        <w:t>arrange</w:t>
      </w:r>
      <w:r w:rsidR="00E734B2">
        <w:rPr>
          <w:lang w:val="nn-NO"/>
        </w:rPr>
        <w:t>me</w:t>
      </w:r>
      <w:r w:rsidR="00E57AF3">
        <w:rPr>
          <w:lang w:val="nn-NO"/>
        </w:rPr>
        <w:t>nt</w:t>
      </w:r>
      <w:r w:rsidRPr="006202FB">
        <w:rPr>
          <w:lang w:val="nn-NO"/>
        </w:rPr>
        <w:t xml:space="preserve"> med ulike tema. </w:t>
      </w:r>
    </w:p>
    <w:p w:rsidR="00DB0B23" w:rsidRDefault="00DB0B23" w:rsidP="00650938">
      <w:pPr>
        <w:rPr>
          <w:lang w:val="nn-NO"/>
        </w:rPr>
      </w:pPr>
    </w:p>
    <w:p w:rsidR="00650938" w:rsidRPr="005E7714" w:rsidRDefault="00650938" w:rsidP="00650938">
      <w:pPr>
        <w:rPr>
          <w:b/>
          <w:lang w:val="nn-NO"/>
        </w:rPr>
      </w:pPr>
      <w:r w:rsidRPr="005E7714">
        <w:rPr>
          <w:b/>
          <w:lang w:val="nn-NO"/>
        </w:rPr>
        <w:t>LDO sin årskonferanse 2019</w:t>
      </w:r>
      <w:r w:rsidR="00DB0B23" w:rsidRPr="005E7714">
        <w:rPr>
          <w:b/>
          <w:lang w:val="nn-NO"/>
        </w:rPr>
        <w:t xml:space="preserve"> </w:t>
      </w:r>
    </w:p>
    <w:p w:rsidR="00650938" w:rsidRPr="0013333D" w:rsidRDefault="00650938" w:rsidP="00650938">
      <w:pPr>
        <w:rPr>
          <w:lang w:val="nn-NO"/>
        </w:rPr>
      </w:pPr>
      <w:r w:rsidRPr="0013333D">
        <w:rPr>
          <w:lang w:val="nn-NO"/>
        </w:rPr>
        <w:t>Ombodet arrangerer årle</w:t>
      </w:r>
      <w:r w:rsidR="0054330E">
        <w:rPr>
          <w:lang w:val="nn-NO"/>
        </w:rPr>
        <w:t xml:space="preserve">g ein større konferanse som tek </w:t>
      </w:r>
      <w:r w:rsidRPr="0013333D">
        <w:rPr>
          <w:lang w:val="nn-NO"/>
        </w:rPr>
        <w:t>for seg eit aktuelt tema innan likestillingsfeltet. I november arrangert</w:t>
      </w:r>
      <w:r>
        <w:rPr>
          <w:lang w:val="nn-NO"/>
        </w:rPr>
        <w:t>e</w:t>
      </w:r>
      <w:r w:rsidRPr="0013333D">
        <w:rPr>
          <w:lang w:val="nn-NO"/>
        </w:rPr>
        <w:t xml:space="preserve"> vi den t</w:t>
      </w:r>
      <w:r w:rsidR="0054330E">
        <w:rPr>
          <w:lang w:val="nn-NO"/>
        </w:rPr>
        <w:t>redje årskonferansen</w:t>
      </w:r>
      <w:r w:rsidR="00810EC0">
        <w:rPr>
          <w:lang w:val="nn-NO"/>
        </w:rPr>
        <w:t xml:space="preserve">, og denne handla om </w:t>
      </w:r>
      <w:r w:rsidRPr="0013333D">
        <w:rPr>
          <w:lang w:val="nn-NO"/>
        </w:rPr>
        <w:t xml:space="preserve"> barrierane og moglegheitene til innvandrarkvinner for økon</w:t>
      </w:r>
      <w:r w:rsidR="002F6513">
        <w:rPr>
          <w:lang w:val="nn-NO"/>
        </w:rPr>
        <w:t>omisk sjølvstende</w:t>
      </w:r>
      <w:r w:rsidRPr="0013333D">
        <w:rPr>
          <w:lang w:val="nn-NO"/>
        </w:rPr>
        <w:t xml:space="preserve"> og </w:t>
      </w:r>
      <w:r w:rsidR="00D9104A">
        <w:rPr>
          <w:lang w:val="nn-NO"/>
        </w:rPr>
        <w:t xml:space="preserve">integrering i </w:t>
      </w:r>
      <w:r w:rsidRPr="0013333D">
        <w:rPr>
          <w:lang w:val="nn-NO"/>
        </w:rPr>
        <w:t>arbeidsmarknad</w:t>
      </w:r>
      <w:r w:rsidR="00D9104A">
        <w:rPr>
          <w:lang w:val="nn-NO"/>
        </w:rPr>
        <w:t xml:space="preserve">en. </w:t>
      </w:r>
      <w:r w:rsidR="002F03E4">
        <w:rPr>
          <w:lang w:val="nn-NO"/>
        </w:rPr>
        <w:t>Konfer</w:t>
      </w:r>
      <w:r w:rsidR="0077094D">
        <w:rPr>
          <w:lang w:val="nn-NO"/>
        </w:rPr>
        <w:t>ansen hadde om lag 170 deltakarar</w:t>
      </w:r>
      <w:r w:rsidR="002F03E4">
        <w:rPr>
          <w:lang w:val="nn-NO"/>
        </w:rPr>
        <w:t xml:space="preserve">. </w:t>
      </w:r>
      <w:r w:rsidRPr="0013333D">
        <w:rPr>
          <w:lang w:val="nn-NO"/>
        </w:rPr>
        <w:t xml:space="preserve">Ombodet samla </w:t>
      </w:r>
      <w:r w:rsidR="0077094D">
        <w:rPr>
          <w:lang w:val="nn-NO"/>
        </w:rPr>
        <w:t>sentrale forskarar</w:t>
      </w:r>
      <w:r w:rsidRPr="0013333D">
        <w:rPr>
          <w:lang w:val="nn-NO"/>
        </w:rPr>
        <w:t xml:space="preserve"> på feltet</w:t>
      </w:r>
      <w:r w:rsidR="003F4EB5">
        <w:rPr>
          <w:lang w:val="nn-NO"/>
        </w:rPr>
        <w:t>, som hjelpte</w:t>
      </w:r>
      <w:r w:rsidRPr="0013333D">
        <w:rPr>
          <w:lang w:val="nn-NO"/>
        </w:rPr>
        <w:t xml:space="preserve"> oss </w:t>
      </w:r>
      <w:r w:rsidR="0074612F">
        <w:rPr>
          <w:lang w:val="nn-NO"/>
        </w:rPr>
        <w:t>å forstå det samansette</w:t>
      </w:r>
      <w:r w:rsidRPr="0013333D">
        <w:rPr>
          <w:lang w:val="nn-NO"/>
        </w:rPr>
        <w:t xml:space="preserve"> i dette temaet. </w:t>
      </w:r>
      <w:r>
        <w:rPr>
          <w:lang w:val="nn-NO"/>
        </w:rPr>
        <w:t>Dåverande a</w:t>
      </w:r>
      <w:r w:rsidRPr="0013333D">
        <w:rPr>
          <w:lang w:val="nn-NO"/>
        </w:rPr>
        <w:t>rbeids- og sosialminister An</w:t>
      </w:r>
      <w:r>
        <w:rPr>
          <w:lang w:val="nn-NO"/>
        </w:rPr>
        <w:t>n</w:t>
      </w:r>
      <w:r w:rsidRPr="0013333D">
        <w:rPr>
          <w:lang w:val="nn-NO"/>
        </w:rPr>
        <w:t>iken Hauglie opna konferansen.</w:t>
      </w:r>
    </w:p>
    <w:p w:rsidR="00650938" w:rsidRPr="0013333D" w:rsidRDefault="00650938" w:rsidP="00650938">
      <w:pPr>
        <w:rPr>
          <w:lang w:val="nn-NO"/>
        </w:rPr>
      </w:pPr>
      <w:r w:rsidRPr="0013333D">
        <w:rPr>
          <w:lang w:val="nn-NO"/>
        </w:rPr>
        <w:t>Auke av sysselsetjing blant kvinner med innvandrarbakgrunn er viktig både som eit likestillings- og integreringsmål og som</w:t>
      </w:r>
      <w:r w:rsidR="007A7ED4">
        <w:rPr>
          <w:lang w:val="nn-NO"/>
        </w:rPr>
        <w:t xml:space="preserve"> eit viktig verktøy for å kjempe</w:t>
      </w:r>
      <w:r w:rsidRPr="0013333D">
        <w:rPr>
          <w:lang w:val="nn-NO"/>
        </w:rPr>
        <w:t xml:space="preserve"> mot fattigdom. Sjølv om fokuset på innvandrarkvinner og økonomisk sjølvstende lenge har vore eit hø</w:t>
      </w:r>
      <w:r>
        <w:rPr>
          <w:lang w:val="nn-NO"/>
        </w:rPr>
        <w:t>g</w:t>
      </w:r>
      <w:r w:rsidRPr="0013333D">
        <w:rPr>
          <w:lang w:val="nn-NO"/>
        </w:rPr>
        <w:t>aktuelt politisk tema og trass i fleire tiår med ulike tiltak frå det offentlege, ser vi at enkelte grupper av innvandrarkvinner frå land ut</w:t>
      </w:r>
      <w:r>
        <w:rPr>
          <w:lang w:val="nn-NO"/>
        </w:rPr>
        <w:t>anfor V</w:t>
      </w:r>
      <w:r w:rsidRPr="0013333D">
        <w:rPr>
          <w:lang w:val="nn-NO"/>
        </w:rPr>
        <w:t>esten heng</w:t>
      </w:r>
      <w:r>
        <w:rPr>
          <w:lang w:val="nn-NO"/>
        </w:rPr>
        <w:t xml:space="preserve"> etter</w:t>
      </w:r>
      <w:r w:rsidRPr="0013333D">
        <w:rPr>
          <w:lang w:val="nn-NO"/>
        </w:rPr>
        <w:t xml:space="preserve">. </w:t>
      </w:r>
      <w:r>
        <w:rPr>
          <w:lang w:val="nn-NO"/>
        </w:rPr>
        <w:t>D</w:t>
      </w:r>
      <w:r w:rsidRPr="0013333D">
        <w:rPr>
          <w:lang w:val="nn-NO"/>
        </w:rPr>
        <w:t>et er store variasjonar internt i denne gruppa. Hanne Kavli og Kristian Tronstad har begge forska på innvandrarkvinner i Nore</w:t>
      </w:r>
      <w:r>
        <w:rPr>
          <w:lang w:val="nn-NO"/>
        </w:rPr>
        <w:t>g</w:t>
      </w:r>
      <w:r w:rsidRPr="0013333D">
        <w:rPr>
          <w:lang w:val="nn-NO"/>
        </w:rPr>
        <w:t xml:space="preserve"> og Europa, og hjelpte oss </w:t>
      </w:r>
      <w:r w:rsidR="00EF6AB9">
        <w:rPr>
          <w:lang w:val="nn-NO"/>
        </w:rPr>
        <w:t xml:space="preserve">til </w:t>
      </w:r>
      <w:r w:rsidRPr="0013333D">
        <w:rPr>
          <w:lang w:val="nn-NO"/>
        </w:rPr>
        <w:t xml:space="preserve">å forstå forskjellane mellom dei ulike gruppene av innvandra kvinner. </w:t>
      </w:r>
    </w:p>
    <w:p w:rsidR="00650938" w:rsidRDefault="00650938" w:rsidP="00650938">
      <w:pPr>
        <w:rPr>
          <w:lang w:val="nn-NO"/>
        </w:rPr>
      </w:pPr>
      <w:r w:rsidRPr="0013333D">
        <w:rPr>
          <w:lang w:val="nn-NO"/>
        </w:rPr>
        <w:t>Vidare sette vi søk</w:t>
      </w:r>
      <w:r w:rsidR="005766A0">
        <w:rPr>
          <w:lang w:val="nn-NO"/>
        </w:rPr>
        <w:t>j</w:t>
      </w:r>
      <w:r w:rsidRPr="0013333D">
        <w:rPr>
          <w:lang w:val="nn-NO"/>
        </w:rPr>
        <w:t>elys på et</w:t>
      </w:r>
      <w:r w:rsidR="003821CC">
        <w:rPr>
          <w:lang w:val="nn-NO"/>
        </w:rPr>
        <w:t>terkom</w:t>
      </w:r>
      <w:r w:rsidRPr="0013333D">
        <w:rPr>
          <w:lang w:val="nn-NO"/>
        </w:rPr>
        <w:t>arar av innvandrarar. Korleis det går med et</w:t>
      </w:r>
      <w:r w:rsidR="003821CC">
        <w:rPr>
          <w:lang w:val="nn-NO"/>
        </w:rPr>
        <w:t>terkom</w:t>
      </w:r>
      <w:r w:rsidRPr="0013333D">
        <w:rPr>
          <w:lang w:val="nn-NO"/>
        </w:rPr>
        <w:t>arar av innvandrar</w:t>
      </w:r>
      <w:r w:rsidR="00D9104A">
        <w:rPr>
          <w:lang w:val="nn-NO"/>
        </w:rPr>
        <w:t>ar</w:t>
      </w:r>
      <w:r w:rsidRPr="0013333D">
        <w:rPr>
          <w:lang w:val="nn-NO"/>
        </w:rPr>
        <w:t xml:space="preserve"> er ein lakmustest på kor godt vi har lykk</w:t>
      </w:r>
      <w:r w:rsidR="005766A0">
        <w:rPr>
          <w:lang w:val="nn-NO"/>
        </w:rPr>
        <w:t>j</w:t>
      </w:r>
      <w:r w:rsidRPr="0013333D">
        <w:rPr>
          <w:lang w:val="nn-NO"/>
        </w:rPr>
        <w:t>ast med integreringa i Noreg. Her presenterte både Are Hermansen frå UiO og Arnfinn Midtbøen frå ISF funna frå forskinga si på et</w:t>
      </w:r>
      <w:r w:rsidR="0086462A">
        <w:rPr>
          <w:lang w:val="nn-NO"/>
        </w:rPr>
        <w:t>terkom</w:t>
      </w:r>
      <w:r w:rsidRPr="0013333D">
        <w:rPr>
          <w:lang w:val="nn-NO"/>
        </w:rPr>
        <w:t xml:space="preserve">arar av innvandrarar i Noreg. Vi retta </w:t>
      </w:r>
      <w:r>
        <w:rPr>
          <w:lang w:val="nn-NO"/>
        </w:rPr>
        <w:t>ó</w:t>
      </w:r>
      <w:r w:rsidRPr="0013333D">
        <w:rPr>
          <w:lang w:val="nn-NO"/>
        </w:rPr>
        <w:t>g bl</w:t>
      </w:r>
      <w:r w:rsidR="00854382">
        <w:rPr>
          <w:lang w:val="nn-NO"/>
        </w:rPr>
        <w:t>ikk</w:t>
      </w:r>
      <w:r w:rsidR="00477933">
        <w:rPr>
          <w:lang w:val="nn-NO"/>
        </w:rPr>
        <w:t>e</w:t>
      </w:r>
      <w:r w:rsidRPr="0013333D">
        <w:rPr>
          <w:lang w:val="nn-NO"/>
        </w:rPr>
        <w:t>t på den norske arbeidsmarknaden og dei tiltaka som blir sette i verk for å få innvandrarkvinner ut i arbeid. Ombodet sette søk</w:t>
      </w:r>
      <w:r w:rsidR="0086462A">
        <w:rPr>
          <w:lang w:val="nn-NO"/>
        </w:rPr>
        <w:t>j</w:t>
      </w:r>
      <w:r w:rsidRPr="0013333D">
        <w:rPr>
          <w:lang w:val="nn-NO"/>
        </w:rPr>
        <w:t xml:space="preserve">elyset på dei ulike barrierane som møter innvandrarkvinner både i heimen, på arbeidsmarknaden og elles i samfunnet. Forfattar og journalist Shazia Majid og forskar Jon </w:t>
      </w:r>
      <w:r>
        <w:rPr>
          <w:lang w:val="nn-NO"/>
        </w:rPr>
        <w:t>Horgen Friberg fortalde om barr</w:t>
      </w:r>
      <w:r w:rsidRPr="0013333D">
        <w:rPr>
          <w:lang w:val="nn-NO"/>
        </w:rPr>
        <w:t>ie</w:t>
      </w:r>
      <w:r>
        <w:rPr>
          <w:lang w:val="nn-NO"/>
        </w:rPr>
        <w:t>rar</w:t>
      </w:r>
      <w:r w:rsidRPr="0013333D">
        <w:rPr>
          <w:lang w:val="nn-NO"/>
        </w:rPr>
        <w:t xml:space="preserve"> som møte</w:t>
      </w:r>
      <w:r w:rsidR="00940B0E">
        <w:rPr>
          <w:lang w:val="nn-NO"/>
        </w:rPr>
        <w:t>r</w:t>
      </w:r>
      <w:r w:rsidRPr="0013333D">
        <w:rPr>
          <w:lang w:val="nn-NO"/>
        </w:rPr>
        <w:t xml:space="preserve"> innvandr</w:t>
      </w:r>
      <w:r>
        <w:rPr>
          <w:lang w:val="nn-NO"/>
        </w:rPr>
        <w:t>a</w:t>
      </w:r>
      <w:r w:rsidRPr="0013333D">
        <w:rPr>
          <w:lang w:val="nn-NO"/>
        </w:rPr>
        <w:t>rkvinner og unge inn</w:t>
      </w:r>
      <w:r>
        <w:rPr>
          <w:lang w:val="nn-NO"/>
        </w:rPr>
        <w:t>v</w:t>
      </w:r>
      <w:r w:rsidRPr="0013333D">
        <w:rPr>
          <w:lang w:val="nn-NO"/>
        </w:rPr>
        <w:t>andr</w:t>
      </w:r>
      <w:r>
        <w:rPr>
          <w:lang w:val="nn-NO"/>
        </w:rPr>
        <w:t>a</w:t>
      </w:r>
      <w:r w:rsidRPr="0013333D">
        <w:rPr>
          <w:lang w:val="nn-NO"/>
        </w:rPr>
        <w:t>rungdom i heimen, som tradisjonelle kjønnsroller og forventningar frå familien. Her fekk vi høyra korleis tradisjon, religion, kultur, familiestruktur og omsorgsansvar verkar inn som barriere</w:t>
      </w:r>
      <w:r w:rsidR="00F94B4D">
        <w:rPr>
          <w:lang w:val="nn-NO"/>
        </w:rPr>
        <w:t>r</w:t>
      </w:r>
      <w:r w:rsidRPr="0013333D">
        <w:rPr>
          <w:lang w:val="nn-NO"/>
        </w:rPr>
        <w:t xml:space="preserve">. Ombodet har </w:t>
      </w:r>
      <w:r w:rsidR="0092760C">
        <w:rPr>
          <w:lang w:val="nn-NO"/>
        </w:rPr>
        <w:t>arbeidt</w:t>
      </w:r>
      <w:r w:rsidRPr="0013333D">
        <w:rPr>
          <w:lang w:val="nn-NO"/>
        </w:rPr>
        <w:t xml:space="preserve"> lenge med strukturell diskriminering i arbeidslivet</w:t>
      </w:r>
      <w:r>
        <w:rPr>
          <w:lang w:val="nn-NO"/>
        </w:rPr>
        <w:t>.</w:t>
      </w:r>
    </w:p>
    <w:p w:rsidR="00F232D3" w:rsidRDefault="00650938" w:rsidP="00650938">
      <w:pPr>
        <w:rPr>
          <w:lang w:val="nn-NO"/>
        </w:rPr>
      </w:pPr>
      <w:r w:rsidRPr="0013333D">
        <w:rPr>
          <w:lang w:val="nn-NO"/>
        </w:rPr>
        <w:t>Konferansen vart av</w:t>
      </w:r>
      <w:r w:rsidR="001838ED">
        <w:rPr>
          <w:lang w:val="nn-NO"/>
        </w:rPr>
        <w:t>slutta av ein panelsamtale leia</w:t>
      </w:r>
      <w:r w:rsidRPr="0013333D">
        <w:rPr>
          <w:lang w:val="nn-NO"/>
        </w:rPr>
        <w:t xml:space="preserve"> av Kai Sibbern med mellom anna Anne Grosvold, Bård Vegar Solhjell, Shazia Majid og Mani Hussaini. Utgangspunktet for samtalen var å sjå på </w:t>
      </w:r>
      <w:r w:rsidRPr="009A313A">
        <w:rPr>
          <w:lang w:val="nn-NO"/>
        </w:rPr>
        <w:t>parallellane mellom dei likestillingsutfordringar som</w:t>
      </w:r>
      <w:r w:rsidR="001350FC" w:rsidRPr="009A313A">
        <w:rPr>
          <w:lang w:val="nn-NO"/>
        </w:rPr>
        <w:t xml:space="preserve"> </w:t>
      </w:r>
      <w:r w:rsidR="00457ADB">
        <w:rPr>
          <w:lang w:val="nn-NO"/>
        </w:rPr>
        <w:t xml:space="preserve">majoritetskvinner tidlegare møtte på på veg inn i arbeidslivet, </w:t>
      </w:r>
      <w:r w:rsidRPr="009A313A">
        <w:rPr>
          <w:lang w:val="nn-NO"/>
        </w:rPr>
        <w:t>og</w:t>
      </w:r>
      <w:r w:rsidRPr="0013333D">
        <w:rPr>
          <w:lang w:val="nn-NO"/>
        </w:rPr>
        <w:t xml:space="preserve"> dei likestil</w:t>
      </w:r>
      <w:r>
        <w:rPr>
          <w:lang w:val="nn-NO"/>
        </w:rPr>
        <w:t>l</w:t>
      </w:r>
      <w:r w:rsidRPr="0013333D">
        <w:rPr>
          <w:lang w:val="nn-NO"/>
        </w:rPr>
        <w:t>ingsutfordring</w:t>
      </w:r>
      <w:r>
        <w:rPr>
          <w:lang w:val="nn-NO"/>
        </w:rPr>
        <w:t>a</w:t>
      </w:r>
      <w:r w:rsidRPr="0013333D">
        <w:rPr>
          <w:lang w:val="nn-NO"/>
        </w:rPr>
        <w:t>r som enkelte innvandrarkvinner møte</w:t>
      </w:r>
      <w:r w:rsidR="00641A7F">
        <w:rPr>
          <w:lang w:val="nn-NO"/>
        </w:rPr>
        <w:t>r</w:t>
      </w:r>
      <w:r w:rsidRPr="0013333D">
        <w:rPr>
          <w:lang w:val="nn-NO"/>
        </w:rPr>
        <w:t xml:space="preserve"> på i dag. </w:t>
      </w:r>
      <w:r>
        <w:rPr>
          <w:lang w:val="nn-NO"/>
        </w:rPr>
        <w:t>Dåverande k</w:t>
      </w:r>
      <w:r w:rsidRPr="0013333D">
        <w:rPr>
          <w:lang w:val="nn-NO"/>
        </w:rPr>
        <w:t>ultur- og likestillingsminister Trine Skei Grande avslutta konferansen.</w:t>
      </w:r>
    </w:p>
    <w:p w:rsidR="00641A7F" w:rsidRDefault="00641A7F" w:rsidP="00650938">
      <w:pPr>
        <w:rPr>
          <w:lang w:val="nn-NO"/>
        </w:rPr>
      </w:pPr>
    </w:p>
    <w:p w:rsidR="00641A7F" w:rsidRDefault="00641A7F" w:rsidP="00650938">
      <w:pPr>
        <w:rPr>
          <w:lang w:val="nn-NO"/>
        </w:rPr>
      </w:pPr>
    </w:p>
    <w:p w:rsidR="00641A7F" w:rsidRDefault="00641A7F" w:rsidP="00650938">
      <w:pPr>
        <w:rPr>
          <w:lang w:val="nn-NO"/>
        </w:rPr>
      </w:pPr>
    </w:p>
    <w:p w:rsidR="00641A7F" w:rsidRDefault="00641A7F" w:rsidP="00650938">
      <w:pPr>
        <w:rPr>
          <w:lang w:val="nn-NO"/>
        </w:rPr>
      </w:pPr>
    </w:p>
    <w:p w:rsidR="00641A7F" w:rsidRDefault="00641A7F" w:rsidP="00650938">
      <w:pPr>
        <w:rPr>
          <w:lang w:val="nn-NO"/>
        </w:rPr>
      </w:pPr>
    </w:p>
    <w:p w:rsidR="00650938" w:rsidRPr="00BC668A" w:rsidRDefault="00650938" w:rsidP="00650938">
      <w:pPr>
        <w:rPr>
          <w:b/>
          <w:lang w:val="nn-NO"/>
        </w:rPr>
      </w:pPr>
      <w:r w:rsidRPr="00BC668A">
        <w:rPr>
          <w:b/>
          <w:lang w:val="nn-NO"/>
        </w:rPr>
        <w:lastRenderedPageBreak/>
        <w:t>Ekspertseminar om tvang</w:t>
      </w:r>
      <w:r w:rsidRPr="00BC668A">
        <w:rPr>
          <w:b/>
          <w:lang w:val="nn-NO"/>
        </w:rPr>
        <w:tab/>
        <w:t xml:space="preserve">                  </w:t>
      </w:r>
    </w:p>
    <w:p w:rsidR="00650938" w:rsidRPr="000D7901" w:rsidRDefault="00650938" w:rsidP="00D3127B">
      <w:pPr>
        <w:rPr>
          <w:b/>
          <w:lang w:val="nn-NO"/>
        </w:rPr>
      </w:pPr>
      <w:bookmarkStart w:id="8" w:name="_Toc34118019"/>
      <w:r w:rsidRPr="000D7901">
        <w:rPr>
          <w:lang w:val="nn-NO"/>
        </w:rPr>
        <w:t>Ombodet arrangerte i november eit heildags kunnskapsseminar om forslaga frå tvangslovutvalet til regulering av tvang når det gjeld personar med psykososiale funks</w:t>
      </w:r>
      <w:r w:rsidR="00042AA3" w:rsidRPr="000D7901">
        <w:rPr>
          <w:lang w:val="nn-NO"/>
        </w:rPr>
        <w:t>jonsnedsettelsar. Eit overordna</w:t>
      </w:r>
      <w:r w:rsidRPr="000D7901">
        <w:rPr>
          <w:lang w:val="nn-NO"/>
        </w:rPr>
        <w:t xml:space="preserve"> føremål for ombodet er å bidra til ei lovg</w:t>
      </w:r>
      <w:r w:rsidR="004D71FC" w:rsidRPr="000D7901">
        <w:rPr>
          <w:lang w:val="nn-NO"/>
        </w:rPr>
        <w:t>jeving</w:t>
      </w:r>
      <w:r w:rsidRPr="000D7901">
        <w:rPr>
          <w:lang w:val="nn-NO"/>
        </w:rPr>
        <w:t xml:space="preserve"> som styrk</w:t>
      </w:r>
      <w:r w:rsidR="00EE0B79" w:rsidRPr="000D7901">
        <w:rPr>
          <w:lang w:val="nn-NO"/>
        </w:rPr>
        <w:t>j</w:t>
      </w:r>
      <w:r w:rsidR="00F34114" w:rsidRPr="000D7901">
        <w:rPr>
          <w:lang w:val="nn-NO"/>
        </w:rPr>
        <w:t>ar retten til sjølvstende</w:t>
      </w:r>
      <w:r w:rsidR="00647302" w:rsidRPr="000D7901">
        <w:rPr>
          <w:lang w:val="nn-NO"/>
        </w:rPr>
        <w:t>, fridom</w:t>
      </w:r>
      <w:r w:rsidRPr="000D7901">
        <w:rPr>
          <w:lang w:val="nn-NO"/>
        </w:rPr>
        <w:t xml:space="preserve"> og personle</w:t>
      </w:r>
      <w:r w:rsidR="00F728A0" w:rsidRPr="000D7901">
        <w:rPr>
          <w:lang w:val="nn-NO"/>
        </w:rPr>
        <w:t>g tryggleik</w:t>
      </w:r>
      <w:r w:rsidRPr="000D7901">
        <w:rPr>
          <w:lang w:val="nn-NO"/>
        </w:rPr>
        <w:t xml:space="preserve"> – s</w:t>
      </w:r>
      <w:r w:rsidR="00283088" w:rsidRPr="000D7901">
        <w:rPr>
          <w:lang w:val="nn-NO"/>
        </w:rPr>
        <w:t>amt retten til helsehjelp bygd på</w:t>
      </w:r>
      <w:r w:rsidRPr="000D7901">
        <w:rPr>
          <w:lang w:val="nn-NO"/>
        </w:rPr>
        <w:t xml:space="preserve"> fritt og informert samtykk</w:t>
      </w:r>
      <w:r w:rsidR="00283088" w:rsidRPr="000D7901">
        <w:rPr>
          <w:lang w:val="nn-NO"/>
        </w:rPr>
        <w:t>j</w:t>
      </w:r>
      <w:r w:rsidR="009C262F" w:rsidRPr="000D7901">
        <w:rPr>
          <w:lang w:val="nn-NO"/>
        </w:rPr>
        <w:t>e – også for persona</w:t>
      </w:r>
      <w:r w:rsidRPr="000D7901">
        <w:rPr>
          <w:lang w:val="nn-NO"/>
        </w:rPr>
        <w:t>r med psykososiale funksjonsnedsettelsar.</w:t>
      </w:r>
      <w:bookmarkEnd w:id="8"/>
      <w:r w:rsidRPr="000D7901">
        <w:rPr>
          <w:lang w:val="nn-NO"/>
        </w:rPr>
        <w:t xml:space="preserve"> </w:t>
      </w:r>
    </w:p>
    <w:p w:rsidR="00650938" w:rsidRPr="00183E2A" w:rsidRDefault="00650938" w:rsidP="00D3127B">
      <w:pPr>
        <w:rPr>
          <w:lang w:val="nn-NO"/>
        </w:rPr>
      </w:pPr>
      <w:r w:rsidRPr="00183E2A">
        <w:rPr>
          <w:lang w:val="nn-NO"/>
        </w:rPr>
        <w:t>Vi var så heldige å få med oss fle</w:t>
      </w:r>
      <w:r>
        <w:rPr>
          <w:lang w:val="nn-NO"/>
        </w:rPr>
        <w:t>i</w:t>
      </w:r>
      <w:r w:rsidRPr="00183E2A">
        <w:rPr>
          <w:lang w:val="nn-NO"/>
        </w:rPr>
        <w:t>re av de</w:t>
      </w:r>
      <w:r>
        <w:rPr>
          <w:lang w:val="nn-NO"/>
        </w:rPr>
        <w:t>i</w:t>
      </w:r>
      <w:r w:rsidRPr="00183E2A">
        <w:rPr>
          <w:lang w:val="nn-NO"/>
        </w:rPr>
        <w:t xml:space="preserve"> sentrale utvalsmedlemm</w:t>
      </w:r>
      <w:r>
        <w:rPr>
          <w:lang w:val="nn-NO"/>
        </w:rPr>
        <w:t>a og</w:t>
      </w:r>
      <w:r w:rsidR="00CA10DD">
        <w:rPr>
          <w:lang w:val="nn-NO"/>
        </w:rPr>
        <w:t xml:space="preserve"> forska</w:t>
      </w:r>
      <w:r w:rsidRPr="00183E2A">
        <w:rPr>
          <w:lang w:val="nn-NO"/>
        </w:rPr>
        <w:t xml:space="preserve">rar </w:t>
      </w:r>
      <w:r>
        <w:rPr>
          <w:lang w:val="nn-NO"/>
        </w:rPr>
        <w:t>samt</w:t>
      </w:r>
      <w:r w:rsidRPr="00183E2A">
        <w:rPr>
          <w:lang w:val="nn-NO"/>
        </w:rPr>
        <w:t xml:space="preserve"> personar med erfaringskompetanse. Seminaret var fullte</w:t>
      </w:r>
      <w:r>
        <w:rPr>
          <w:lang w:val="nn-NO"/>
        </w:rPr>
        <w:t>g</w:t>
      </w:r>
      <w:r w:rsidRPr="00183E2A">
        <w:rPr>
          <w:lang w:val="nn-NO"/>
        </w:rPr>
        <w:t>na med meir enn 80 deltakarar fr</w:t>
      </w:r>
      <w:r>
        <w:rPr>
          <w:lang w:val="nn-NO"/>
        </w:rPr>
        <w:t>å</w:t>
      </w:r>
      <w:r w:rsidRPr="00183E2A">
        <w:rPr>
          <w:lang w:val="nn-NO"/>
        </w:rPr>
        <w:t xml:space="preserve"> </w:t>
      </w:r>
      <w:r>
        <w:rPr>
          <w:lang w:val="nn-NO"/>
        </w:rPr>
        <w:t xml:space="preserve">både </w:t>
      </w:r>
      <w:r w:rsidRPr="00183E2A">
        <w:rPr>
          <w:lang w:val="nn-NO"/>
        </w:rPr>
        <w:t>forvaltning</w:t>
      </w:r>
      <w:r>
        <w:rPr>
          <w:lang w:val="nn-NO"/>
        </w:rPr>
        <w:t xml:space="preserve"> og </w:t>
      </w:r>
      <w:r w:rsidRPr="00183E2A">
        <w:rPr>
          <w:lang w:val="nn-NO"/>
        </w:rPr>
        <w:t xml:space="preserve">sivilsamfunn. </w:t>
      </w:r>
      <w:r w:rsidR="00411129">
        <w:rPr>
          <w:lang w:val="nn-NO"/>
        </w:rPr>
        <w:t xml:space="preserve">Ombodet </w:t>
      </w:r>
      <w:r>
        <w:rPr>
          <w:lang w:val="nn-NO"/>
        </w:rPr>
        <w:t>leverte og eit høyringsfråsegn til forslaga frå tvangslovutvalet.</w:t>
      </w:r>
    </w:p>
    <w:p w:rsidR="00650938" w:rsidRDefault="00650938" w:rsidP="00650938">
      <w:pPr>
        <w:rPr>
          <w:lang w:val="nn-NO"/>
        </w:rPr>
      </w:pPr>
    </w:p>
    <w:p w:rsidR="00650938" w:rsidRPr="0041269D" w:rsidRDefault="00650938" w:rsidP="00650938">
      <w:pPr>
        <w:rPr>
          <w:b/>
          <w:lang w:val="nn-NO"/>
        </w:rPr>
      </w:pPr>
      <w:r w:rsidRPr="0041269D">
        <w:rPr>
          <w:b/>
          <w:lang w:val="nn-NO"/>
        </w:rPr>
        <w:t xml:space="preserve">Ekspertseminar om </w:t>
      </w:r>
      <w:r w:rsidR="00610014" w:rsidRPr="0041269D">
        <w:rPr>
          <w:b/>
          <w:lang w:val="nn-NO"/>
        </w:rPr>
        <w:t xml:space="preserve">samtykkebasert </w:t>
      </w:r>
      <w:r w:rsidR="00A31AA5" w:rsidRPr="0041269D">
        <w:rPr>
          <w:b/>
          <w:lang w:val="nn-NO"/>
        </w:rPr>
        <w:t>valdte</w:t>
      </w:r>
      <w:r w:rsidR="00610014" w:rsidRPr="0041269D">
        <w:rPr>
          <w:b/>
          <w:lang w:val="nn-NO"/>
        </w:rPr>
        <w:t>ksstraffebod</w:t>
      </w:r>
      <w:r w:rsidR="0070215E" w:rsidRPr="0041269D">
        <w:rPr>
          <w:b/>
          <w:lang w:val="nn-NO"/>
        </w:rPr>
        <w:t>.</w:t>
      </w:r>
    </w:p>
    <w:p w:rsidR="00650938" w:rsidRPr="0041269D" w:rsidRDefault="00650938" w:rsidP="00650938">
      <w:pPr>
        <w:rPr>
          <w:lang w:val="nn-NO"/>
        </w:rPr>
      </w:pPr>
      <w:r w:rsidRPr="0041269D">
        <w:rPr>
          <w:lang w:val="nn-NO"/>
        </w:rPr>
        <w:t xml:space="preserve">I november arrangerte </w:t>
      </w:r>
      <w:r w:rsidR="00255232" w:rsidRPr="0041269D">
        <w:rPr>
          <w:lang w:val="nn-NO"/>
        </w:rPr>
        <w:t>ombodet</w:t>
      </w:r>
      <w:r w:rsidRPr="0041269D">
        <w:rPr>
          <w:lang w:val="nn-NO"/>
        </w:rPr>
        <w:t xml:space="preserve"> e</w:t>
      </w:r>
      <w:r w:rsidR="0070215E" w:rsidRPr="0041269D">
        <w:rPr>
          <w:lang w:val="nn-NO"/>
        </w:rPr>
        <w:t>i</w:t>
      </w:r>
      <w:r w:rsidR="00C21D75" w:rsidRPr="0041269D">
        <w:rPr>
          <w:lang w:val="nn-NO"/>
        </w:rPr>
        <w:t>t ekspertseminar om det</w:t>
      </w:r>
      <w:r w:rsidRPr="0041269D">
        <w:rPr>
          <w:lang w:val="nn-NO"/>
        </w:rPr>
        <w:t xml:space="preserve"> norske </w:t>
      </w:r>
      <w:r w:rsidR="00656600" w:rsidRPr="0041269D">
        <w:rPr>
          <w:lang w:val="nn-NO"/>
        </w:rPr>
        <w:t xml:space="preserve">samtykkebaserte </w:t>
      </w:r>
      <w:r w:rsidR="00C21D75" w:rsidRPr="0041269D">
        <w:rPr>
          <w:lang w:val="nn-NO"/>
        </w:rPr>
        <w:t>valdteksstraffebodet</w:t>
      </w:r>
      <w:r w:rsidR="00656600" w:rsidRPr="0041269D">
        <w:rPr>
          <w:lang w:val="nn-NO"/>
        </w:rPr>
        <w:t>.</w:t>
      </w:r>
      <w:r w:rsidR="007636ED">
        <w:rPr>
          <w:lang w:val="nn-NO"/>
        </w:rPr>
        <w:t xml:space="preserve"> </w:t>
      </w:r>
      <w:r w:rsidRPr="0041269D">
        <w:rPr>
          <w:lang w:val="nn-NO"/>
        </w:rPr>
        <w:t>De</w:t>
      </w:r>
      <w:r w:rsidR="0070215E" w:rsidRPr="0041269D">
        <w:rPr>
          <w:lang w:val="nn-NO"/>
        </w:rPr>
        <w:t>i siste åra</w:t>
      </w:r>
      <w:r w:rsidRPr="0041269D">
        <w:rPr>
          <w:lang w:val="nn-NO"/>
        </w:rPr>
        <w:t xml:space="preserve"> har fle</w:t>
      </w:r>
      <w:r w:rsidR="0070215E" w:rsidRPr="0041269D">
        <w:rPr>
          <w:lang w:val="nn-NO"/>
        </w:rPr>
        <w:t>ir</w:t>
      </w:r>
      <w:r w:rsidR="007D46B2" w:rsidRPr="0041269D">
        <w:rPr>
          <w:lang w:val="nn-NO"/>
        </w:rPr>
        <w:t>e aktørar kritisert at straffebodet</w:t>
      </w:r>
      <w:r w:rsidRPr="0041269D">
        <w:rPr>
          <w:lang w:val="nn-NO"/>
        </w:rPr>
        <w:t xml:space="preserve"> </w:t>
      </w:r>
      <w:r w:rsidR="00477933" w:rsidRPr="0041269D">
        <w:rPr>
          <w:lang w:val="nn-NO"/>
        </w:rPr>
        <w:t>ikkje</w:t>
      </w:r>
      <w:r w:rsidR="0070215E" w:rsidRPr="0041269D">
        <w:rPr>
          <w:lang w:val="nn-NO"/>
        </w:rPr>
        <w:t xml:space="preserve"> i tilstrekkele</w:t>
      </w:r>
      <w:r w:rsidR="000C3F21" w:rsidRPr="0041269D">
        <w:rPr>
          <w:lang w:val="nn-NO"/>
        </w:rPr>
        <w:t>g grad beskyttar ofre for va</w:t>
      </w:r>
      <w:r w:rsidRPr="0041269D">
        <w:rPr>
          <w:lang w:val="nn-NO"/>
        </w:rPr>
        <w:t>ldtekt</w:t>
      </w:r>
      <w:r w:rsidR="000C3F21" w:rsidRPr="0041269D">
        <w:rPr>
          <w:lang w:val="nn-NO"/>
        </w:rPr>
        <w:t>.</w:t>
      </w:r>
      <w:r w:rsidRPr="0041269D">
        <w:rPr>
          <w:lang w:val="nn-NO"/>
        </w:rPr>
        <w:t xml:space="preserve"> Kvinneorganisasjo</w:t>
      </w:r>
      <w:r w:rsidR="000C3F21" w:rsidRPr="0041269D">
        <w:rPr>
          <w:lang w:val="nn-NO"/>
        </w:rPr>
        <w:t>nar har tatt opp dette i skuggerapporta</w:t>
      </w:r>
      <w:r w:rsidR="007636ED">
        <w:rPr>
          <w:lang w:val="nn-NO"/>
        </w:rPr>
        <w:t>r til FN sin</w:t>
      </w:r>
      <w:r w:rsidRPr="0041269D">
        <w:rPr>
          <w:lang w:val="nn-NO"/>
        </w:rPr>
        <w:t xml:space="preserve"> kvinnekomité, og Amnesty International har i e</w:t>
      </w:r>
      <w:r w:rsidR="000C3F21" w:rsidRPr="0041269D">
        <w:rPr>
          <w:lang w:val="nn-NO"/>
        </w:rPr>
        <w:t>igne rapportar og medieutspel</w:t>
      </w:r>
      <w:r w:rsidRPr="0041269D">
        <w:rPr>
          <w:lang w:val="nn-NO"/>
        </w:rPr>
        <w:t xml:space="preserve"> st</w:t>
      </w:r>
      <w:r w:rsidR="00926E31" w:rsidRPr="0041269D">
        <w:rPr>
          <w:lang w:val="nn-NO"/>
        </w:rPr>
        <w:t>ilt krav om endring i straffebodet</w:t>
      </w:r>
      <w:r w:rsidRPr="0041269D">
        <w:rPr>
          <w:lang w:val="nn-NO"/>
        </w:rPr>
        <w:t>.</w:t>
      </w:r>
    </w:p>
    <w:p w:rsidR="00650938" w:rsidRPr="001D0BDE" w:rsidRDefault="00693177" w:rsidP="00650938">
      <w:pPr>
        <w:autoSpaceDE w:val="0"/>
        <w:autoSpaceDN w:val="0"/>
        <w:adjustRightInd w:val="0"/>
        <w:spacing w:after="0"/>
        <w:rPr>
          <w:rFonts w:cstheme="minorHAnsi"/>
          <w:lang w:val="nn-NO"/>
        </w:rPr>
      </w:pPr>
      <w:r w:rsidRPr="0041269D">
        <w:rPr>
          <w:rFonts w:cstheme="minorHAnsi"/>
          <w:lang w:val="nn-NO"/>
        </w:rPr>
        <w:t>Desse</w:t>
      </w:r>
      <w:r w:rsidR="00797F5D">
        <w:rPr>
          <w:rFonts w:cstheme="minorHAnsi"/>
          <w:lang w:val="nn-NO"/>
        </w:rPr>
        <w:t xml:space="preserve"> forslaga har ført til at FN sin</w:t>
      </w:r>
      <w:r w:rsidR="00650938" w:rsidRPr="0041269D">
        <w:rPr>
          <w:rFonts w:cstheme="minorHAnsi"/>
          <w:lang w:val="nn-NO"/>
        </w:rPr>
        <w:t xml:space="preserve"> kvinnekom</w:t>
      </w:r>
      <w:r w:rsidRPr="0041269D">
        <w:rPr>
          <w:rFonts w:cstheme="minorHAnsi"/>
          <w:lang w:val="nn-NO"/>
        </w:rPr>
        <w:t>ité anbefaler norske styresmakter</w:t>
      </w:r>
      <w:r w:rsidR="00650938" w:rsidRPr="0041269D">
        <w:rPr>
          <w:rFonts w:cstheme="minorHAnsi"/>
          <w:lang w:val="nn-NO"/>
        </w:rPr>
        <w:t xml:space="preserve"> å innføre e</w:t>
      </w:r>
      <w:r w:rsidR="00F6227E" w:rsidRPr="0041269D">
        <w:rPr>
          <w:rFonts w:cstheme="minorHAnsi"/>
          <w:lang w:val="nn-NO"/>
        </w:rPr>
        <w:t>i</w:t>
      </w:r>
      <w:r w:rsidR="00797F5D">
        <w:rPr>
          <w:rFonts w:cstheme="minorHAnsi"/>
          <w:lang w:val="nn-NO"/>
        </w:rPr>
        <w:t>t</w:t>
      </w:r>
      <w:r w:rsidR="00650938" w:rsidRPr="0041269D">
        <w:rPr>
          <w:rFonts w:cstheme="minorHAnsi"/>
          <w:lang w:val="nn-NO"/>
        </w:rPr>
        <w:t xml:space="preserve"> samtykk</w:t>
      </w:r>
      <w:r w:rsidR="00656600" w:rsidRPr="0041269D">
        <w:rPr>
          <w:rFonts w:cstheme="minorHAnsi"/>
          <w:lang w:val="nn-NO"/>
        </w:rPr>
        <w:t>ebasert valdtektsstraffebod.</w:t>
      </w:r>
      <w:r w:rsidRPr="0041269D">
        <w:rPr>
          <w:rFonts w:cstheme="minorHAnsi"/>
          <w:lang w:val="nn-NO"/>
        </w:rPr>
        <w:t xml:space="preserve"> </w:t>
      </w:r>
      <w:r w:rsidR="00F6227E" w:rsidRPr="0041269D">
        <w:rPr>
          <w:rFonts w:cstheme="minorHAnsi"/>
          <w:lang w:val="nn-NO"/>
        </w:rPr>
        <w:t>Andre aktørar hevdar at det allereie er ei</w:t>
      </w:r>
      <w:r w:rsidR="0041269D" w:rsidRPr="0041269D">
        <w:rPr>
          <w:rFonts w:cstheme="minorHAnsi"/>
          <w:lang w:val="nn-NO"/>
        </w:rPr>
        <w:t>t</w:t>
      </w:r>
      <w:r w:rsidR="00650938" w:rsidRPr="0041269D">
        <w:rPr>
          <w:rFonts w:cstheme="minorHAnsi"/>
          <w:lang w:val="nn-NO"/>
        </w:rPr>
        <w:t xml:space="preserve"> samtykk</w:t>
      </w:r>
      <w:r w:rsidR="00BB3EF1" w:rsidRPr="0041269D">
        <w:rPr>
          <w:rFonts w:cstheme="minorHAnsi"/>
          <w:lang w:val="nn-NO"/>
        </w:rPr>
        <w:t xml:space="preserve">ebasert </w:t>
      </w:r>
      <w:r w:rsidR="0041269D" w:rsidRPr="0041269D">
        <w:rPr>
          <w:rFonts w:cstheme="minorHAnsi"/>
          <w:lang w:val="nn-NO"/>
        </w:rPr>
        <w:t xml:space="preserve">valdtektsstraffebod </w:t>
      </w:r>
      <w:r w:rsidR="00650938" w:rsidRPr="0041269D">
        <w:rPr>
          <w:rFonts w:cstheme="minorHAnsi"/>
          <w:lang w:val="nn-NO"/>
        </w:rPr>
        <w:t xml:space="preserve">i </w:t>
      </w:r>
      <w:r w:rsidR="005C4E7E" w:rsidRPr="0041269D">
        <w:rPr>
          <w:rFonts w:cstheme="minorHAnsi"/>
          <w:lang w:val="nn-NO"/>
        </w:rPr>
        <w:t>Noreg</w:t>
      </w:r>
      <w:r w:rsidR="00F6227E" w:rsidRPr="0041269D">
        <w:rPr>
          <w:rFonts w:cstheme="minorHAnsi"/>
          <w:lang w:val="nn-NO"/>
        </w:rPr>
        <w:t>, men at sjølve ordlyden gjer</w:t>
      </w:r>
      <w:r w:rsidR="00650938" w:rsidRPr="0041269D">
        <w:rPr>
          <w:rFonts w:cstheme="minorHAnsi"/>
          <w:lang w:val="nn-NO"/>
        </w:rPr>
        <w:t xml:space="preserve"> at </w:t>
      </w:r>
      <w:r w:rsidR="0041269D" w:rsidRPr="0041269D">
        <w:rPr>
          <w:rFonts w:cstheme="minorHAnsi"/>
          <w:lang w:val="nn-NO"/>
        </w:rPr>
        <w:t>straffebodet</w:t>
      </w:r>
      <w:r w:rsidR="004B77F2" w:rsidRPr="0041269D">
        <w:rPr>
          <w:rFonts w:cstheme="minorHAnsi"/>
          <w:lang w:val="nn-NO"/>
        </w:rPr>
        <w:t xml:space="preserve"> er lite brukeleg</w:t>
      </w:r>
      <w:r w:rsidR="00650938" w:rsidRPr="0041269D">
        <w:rPr>
          <w:rFonts w:cstheme="minorHAnsi"/>
          <w:lang w:val="nn-NO"/>
        </w:rPr>
        <w:t xml:space="preserve">. </w:t>
      </w:r>
      <w:r w:rsidR="00255232" w:rsidRPr="0041269D">
        <w:rPr>
          <w:rFonts w:cstheme="minorHAnsi"/>
          <w:lang w:val="nn-NO"/>
        </w:rPr>
        <w:t>Ombodet</w:t>
      </w:r>
      <w:r w:rsidR="00BB3EF1" w:rsidRPr="0041269D">
        <w:rPr>
          <w:rFonts w:cstheme="minorHAnsi"/>
          <w:lang w:val="nn-NO"/>
        </w:rPr>
        <w:t xml:space="preserve"> inviterte ulike fagmiljø</w:t>
      </w:r>
      <w:r w:rsidR="00650938" w:rsidRPr="0041269D">
        <w:rPr>
          <w:rFonts w:cstheme="minorHAnsi"/>
          <w:lang w:val="nn-NO"/>
        </w:rPr>
        <w:t xml:space="preserve"> t</w:t>
      </w:r>
      <w:r w:rsidR="007A3963" w:rsidRPr="0041269D">
        <w:rPr>
          <w:rFonts w:cstheme="minorHAnsi"/>
          <w:lang w:val="nn-NO"/>
        </w:rPr>
        <w:t>il ekspertseminaret for å setje lys på dei</w:t>
      </w:r>
      <w:r w:rsidR="00650938" w:rsidRPr="0041269D">
        <w:rPr>
          <w:rFonts w:cstheme="minorHAnsi"/>
          <w:lang w:val="nn-NO"/>
        </w:rPr>
        <w:t xml:space="preserve"> aktuel</w:t>
      </w:r>
      <w:r w:rsidR="007A3963" w:rsidRPr="0041269D">
        <w:rPr>
          <w:rFonts w:cstheme="minorHAnsi"/>
          <w:lang w:val="nn-NO"/>
        </w:rPr>
        <w:t>le problemstillingane som er knytt</w:t>
      </w:r>
      <w:r w:rsidR="008E53DA" w:rsidRPr="0041269D">
        <w:rPr>
          <w:rFonts w:cstheme="minorHAnsi"/>
          <w:lang w:val="nn-NO"/>
        </w:rPr>
        <w:t xml:space="preserve"> til utsegna</w:t>
      </w:r>
      <w:r w:rsidR="00122B40" w:rsidRPr="0041269D">
        <w:rPr>
          <w:rFonts w:cstheme="minorHAnsi"/>
          <w:lang w:val="nn-NO"/>
        </w:rPr>
        <w:t xml:space="preserve"> om behovet for ei reform av lova. </w:t>
      </w:r>
      <w:r w:rsidR="00D11E3D" w:rsidRPr="0041269D">
        <w:rPr>
          <w:rFonts w:cstheme="minorHAnsi"/>
          <w:lang w:val="nn-NO"/>
        </w:rPr>
        <w:t>Hovudinnleiar</w:t>
      </w:r>
      <w:r w:rsidR="00650938" w:rsidRPr="0041269D">
        <w:rPr>
          <w:rFonts w:cstheme="minorHAnsi"/>
          <w:lang w:val="nn-NO"/>
        </w:rPr>
        <w:t xml:space="preserve"> var jusprofessor Jørn Jacobsen ved Universitete</w:t>
      </w:r>
      <w:r w:rsidR="00EF35B2" w:rsidRPr="0041269D">
        <w:rPr>
          <w:rFonts w:cstheme="minorHAnsi"/>
          <w:lang w:val="nn-NO"/>
        </w:rPr>
        <w:t>t i Bergen. Han er også forfatta</w:t>
      </w:r>
      <w:r w:rsidR="00650938" w:rsidRPr="0041269D">
        <w:rPr>
          <w:rFonts w:cstheme="minorHAnsi"/>
          <w:lang w:val="nn-NO"/>
        </w:rPr>
        <w:t>r av boka «</w:t>
      </w:r>
      <w:r w:rsidR="00650938" w:rsidRPr="0041269D">
        <w:rPr>
          <w:rFonts w:cstheme="minorHAnsi"/>
          <w:i/>
          <w:lang w:val="nn-NO"/>
        </w:rPr>
        <w:t>Valdteksstraffebodet. Gjeldande rett og spørsmålet om reform</w:t>
      </w:r>
      <w:r w:rsidR="00650938" w:rsidRPr="0041269D">
        <w:rPr>
          <w:rFonts w:cstheme="minorHAnsi"/>
          <w:lang w:val="nn-NO"/>
        </w:rPr>
        <w:t xml:space="preserve">». I overkant av 60 </w:t>
      </w:r>
      <w:r w:rsidR="00EF35B2" w:rsidRPr="0041269D">
        <w:rPr>
          <w:rFonts w:cstheme="minorHAnsi"/>
          <w:lang w:val="nn-NO"/>
        </w:rPr>
        <w:t>persona</w:t>
      </w:r>
      <w:r w:rsidR="00650938" w:rsidRPr="0041269D">
        <w:rPr>
          <w:rFonts w:cstheme="minorHAnsi"/>
          <w:lang w:val="nn-NO"/>
        </w:rPr>
        <w:t>r deltok på seminaret.</w:t>
      </w:r>
    </w:p>
    <w:p w:rsidR="00650938" w:rsidRPr="001D0BDE" w:rsidRDefault="00650938" w:rsidP="00650938">
      <w:pPr>
        <w:autoSpaceDE w:val="0"/>
        <w:autoSpaceDN w:val="0"/>
        <w:adjustRightInd w:val="0"/>
        <w:spacing w:after="0"/>
        <w:rPr>
          <w:rFonts w:cstheme="minorHAnsi"/>
          <w:lang w:val="nn-NO"/>
        </w:rPr>
      </w:pPr>
    </w:p>
    <w:p w:rsidR="00650938" w:rsidRPr="001D0BDE" w:rsidRDefault="004E5574" w:rsidP="00650938">
      <w:pPr>
        <w:autoSpaceDE w:val="0"/>
        <w:autoSpaceDN w:val="0"/>
        <w:adjustRightInd w:val="0"/>
        <w:spacing w:after="0"/>
        <w:rPr>
          <w:rFonts w:cstheme="minorHAnsi"/>
          <w:lang w:val="nn-NO"/>
        </w:rPr>
      </w:pPr>
      <w:r w:rsidRPr="001D0BDE">
        <w:rPr>
          <w:rFonts w:cstheme="minorHAnsi"/>
          <w:b/>
          <w:lang w:val="nn-NO"/>
        </w:rPr>
        <w:t>Innspel</w:t>
      </w:r>
      <w:r w:rsidR="00650938" w:rsidRPr="001D0BDE">
        <w:rPr>
          <w:rFonts w:cstheme="minorHAnsi"/>
          <w:b/>
          <w:lang w:val="nn-NO"/>
        </w:rPr>
        <w:t>smøter om rasisme og etnisk diskriminering</w:t>
      </w:r>
    </w:p>
    <w:p w:rsidR="00650938" w:rsidRPr="0013333D" w:rsidRDefault="00650938" w:rsidP="00650938">
      <w:pPr>
        <w:rPr>
          <w:lang w:val="nn-NO"/>
        </w:rPr>
      </w:pPr>
      <w:r w:rsidRPr="001D0BDE">
        <w:rPr>
          <w:lang w:val="nn-NO"/>
        </w:rPr>
        <w:t>Ombodet bidrog aktivt i inn</w:t>
      </w:r>
      <w:r w:rsidR="00496945" w:rsidRPr="001D0BDE">
        <w:rPr>
          <w:lang w:val="nn-NO"/>
        </w:rPr>
        <w:t>spela til regjeringa si</w:t>
      </w:r>
      <w:r w:rsidR="00A03E26">
        <w:rPr>
          <w:lang w:val="nn-NO"/>
        </w:rPr>
        <w:t>n</w:t>
      </w:r>
      <w:r w:rsidR="00496945" w:rsidRPr="001D0BDE">
        <w:rPr>
          <w:lang w:val="nn-NO"/>
        </w:rPr>
        <w:t xml:space="preserve"> handlingsplan </w:t>
      </w:r>
      <w:r w:rsidRPr="001D0BDE">
        <w:rPr>
          <w:lang w:val="nn-NO"/>
        </w:rPr>
        <w:t xml:space="preserve">mot rasisme og etnisk diskriminering som kom i desember 2019. </w:t>
      </w:r>
      <w:r w:rsidRPr="00620219">
        <w:rPr>
          <w:lang w:val="nn-NO"/>
        </w:rPr>
        <w:t>Vi har vore pådrivarar for at regjeringa må ha ein særle</w:t>
      </w:r>
      <w:r w:rsidR="00B66630">
        <w:rPr>
          <w:lang w:val="nn-NO"/>
        </w:rPr>
        <w:t>g innsats mot muslimfiendslegheit</w:t>
      </w:r>
      <w:r w:rsidRPr="00620219">
        <w:rPr>
          <w:lang w:val="nn-NO"/>
        </w:rPr>
        <w:t xml:space="preserve"> på grunn av omfanget dette har også i Noreg. </w:t>
      </w:r>
      <w:r w:rsidRPr="0013333D">
        <w:rPr>
          <w:lang w:val="nn-NO"/>
        </w:rPr>
        <w:t>I samband med dette gjennomførte vi ei rekke møter med muslimar for å høyra skildringa</w:t>
      </w:r>
      <w:r w:rsidR="00B66630">
        <w:rPr>
          <w:lang w:val="nn-NO"/>
        </w:rPr>
        <w:t>ne</w:t>
      </w:r>
      <w:r w:rsidRPr="0013333D">
        <w:rPr>
          <w:lang w:val="nn-NO"/>
        </w:rPr>
        <w:t xml:space="preserve"> deira av situasjonen</w:t>
      </w:r>
      <w:r>
        <w:rPr>
          <w:lang w:val="nn-NO"/>
        </w:rPr>
        <w:t xml:space="preserve"> </w:t>
      </w:r>
      <w:r w:rsidR="00B66630">
        <w:rPr>
          <w:lang w:val="nn-NO"/>
        </w:rPr>
        <w:t>og kva tiltak dei fann naudsynd</w:t>
      </w:r>
      <w:r w:rsidRPr="0013333D">
        <w:rPr>
          <w:lang w:val="nn-NO"/>
        </w:rPr>
        <w:t xml:space="preserve"> for å førebygg</w:t>
      </w:r>
      <w:r w:rsidR="00B66630">
        <w:rPr>
          <w:lang w:val="nn-NO"/>
        </w:rPr>
        <w:t>je</w:t>
      </w:r>
      <w:r w:rsidRPr="0013333D">
        <w:rPr>
          <w:lang w:val="nn-NO"/>
        </w:rPr>
        <w:t xml:space="preserve"> og </w:t>
      </w:r>
      <w:r w:rsidR="00B66630">
        <w:rPr>
          <w:lang w:val="nn-NO"/>
        </w:rPr>
        <w:t>handtere</w:t>
      </w:r>
      <w:r w:rsidRPr="0013333D">
        <w:rPr>
          <w:lang w:val="nn-NO"/>
        </w:rPr>
        <w:t xml:space="preserve"> dette. </w:t>
      </w:r>
      <w:r>
        <w:rPr>
          <w:lang w:val="nn-NO"/>
        </w:rPr>
        <w:t xml:space="preserve">Møta omfatta moskear, </w:t>
      </w:r>
      <w:r w:rsidRPr="0013333D">
        <w:rPr>
          <w:lang w:val="nn-NO"/>
        </w:rPr>
        <w:t>muslimske organisasjonar i tillegg ti</w:t>
      </w:r>
      <w:r w:rsidR="00B66630">
        <w:rPr>
          <w:lang w:val="nn-NO"/>
        </w:rPr>
        <w:t>l enkeltpersonar med tilhøyrsle</w:t>
      </w:r>
      <w:r w:rsidRPr="0013333D">
        <w:rPr>
          <w:lang w:val="nn-NO"/>
        </w:rPr>
        <w:t xml:space="preserve"> i Bergen, Moss og Oslo. Fleire av møta vart gjennomførte i samarbeid med tenketanken Minotenk. </w:t>
      </w:r>
    </w:p>
    <w:p w:rsidR="00650938" w:rsidRPr="0013333D" w:rsidRDefault="00650938" w:rsidP="00650938">
      <w:pPr>
        <w:rPr>
          <w:rFonts w:cstheme="minorHAnsi"/>
          <w:lang w:val="nn-NO"/>
        </w:rPr>
      </w:pPr>
      <w:r w:rsidRPr="0013333D">
        <w:rPr>
          <w:lang w:val="nn-NO"/>
        </w:rPr>
        <w:t>Ombodet heldt eit fo</w:t>
      </w:r>
      <w:r w:rsidR="003564FA">
        <w:rPr>
          <w:lang w:val="nn-NO"/>
        </w:rPr>
        <w:t>lkemøte i Karasjok og eit fagleg diskusjonsmøte</w:t>
      </w:r>
      <w:r w:rsidRPr="0013333D">
        <w:rPr>
          <w:lang w:val="nn-NO"/>
        </w:rPr>
        <w:t xml:space="preserve"> med elevar på Karasjok vidaregåande skule om rasisme mot samar. </w:t>
      </w:r>
      <w:r>
        <w:rPr>
          <w:lang w:val="nn-NO"/>
        </w:rPr>
        <w:t xml:space="preserve">Ombodet fekk </w:t>
      </w:r>
      <w:r w:rsidRPr="0013333D">
        <w:rPr>
          <w:lang w:val="nn-NO"/>
        </w:rPr>
        <w:t xml:space="preserve">høyra om korleis rasismen mot samar artar seg og innhenta </w:t>
      </w:r>
      <w:r>
        <w:rPr>
          <w:lang w:val="nn-NO"/>
        </w:rPr>
        <w:t xml:space="preserve">forslag til </w:t>
      </w:r>
      <w:r w:rsidRPr="0013333D">
        <w:rPr>
          <w:lang w:val="nn-NO"/>
        </w:rPr>
        <w:t xml:space="preserve">tiltak. Innspelet ombodet har </w:t>
      </w:r>
      <w:r w:rsidR="004C680D">
        <w:rPr>
          <w:lang w:val="nn-NO"/>
        </w:rPr>
        <w:t>gjeve</w:t>
      </w:r>
      <w:r>
        <w:rPr>
          <w:lang w:val="nn-NO"/>
        </w:rPr>
        <w:t xml:space="preserve"> </w:t>
      </w:r>
      <w:r w:rsidRPr="0013333D">
        <w:rPr>
          <w:lang w:val="nn-NO"/>
        </w:rPr>
        <w:t>til handlingsplanen omfatta ei rekke tilrådingar til tiltak mot rasisme og diskriminering generelt</w:t>
      </w:r>
      <w:r w:rsidR="005A1972">
        <w:rPr>
          <w:lang w:val="nn-NO"/>
        </w:rPr>
        <w:t>,</w:t>
      </w:r>
      <w:r w:rsidRPr="0013333D">
        <w:rPr>
          <w:lang w:val="nn-NO"/>
        </w:rPr>
        <w:t xml:space="preserve"> </w:t>
      </w:r>
      <w:r>
        <w:rPr>
          <w:lang w:val="nn-NO"/>
        </w:rPr>
        <w:t>samt</w:t>
      </w:r>
      <w:r w:rsidR="004C680D">
        <w:rPr>
          <w:lang w:val="nn-NO"/>
        </w:rPr>
        <w:t xml:space="preserve"> særeigne</w:t>
      </w:r>
      <w:r w:rsidRPr="0013333D">
        <w:rPr>
          <w:lang w:val="nn-NO"/>
        </w:rPr>
        <w:t xml:space="preserve"> tiltak mot muslimfie</w:t>
      </w:r>
      <w:r w:rsidR="004C680D">
        <w:rPr>
          <w:lang w:val="nn-NO"/>
        </w:rPr>
        <w:t>ndtslegheit</w:t>
      </w:r>
      <w:r w:rsidRPr="0013333D">
        <w:rPr>
          <w:lang w:val="nn-NO"/>
        </w:rPr>
        <w:t xml:space="preserve"> og </w:t>
      </w:r>
      <w:r w:rsidR="00E83D6F">
        <w:rPr>
          <w:lang w:val="nn-NO"/>
        </w:rPr>
        <w:t>hets mot samar.</w:t>
      </w:r>
    </w:p>
    <w:p w:rsidR="00650938" w:rsidRDefault="00650938" w:rsidP="00650938">
      <w:pPr>
        <w:autoSpaceDE w:val="0"/>
        <w:autoSpaceDN w:val="0"/>
        <w:adjustRightInd w:val="0"/>
        <w:spacing w:after="0"/>
        <w:rPr>
          <w:rFonts w:cstheme="minorHAnsi"/>
          <w:lang w:val="nn-NO"/>
        </w:rPr>
      </w:pPr>
    </w:p>
    <w:p w:rsidR="00F232D3" w:rsidRDefault="00F232D3" w:rsidP="00650938">
      <w:pPr>
        <w:autoSpaceDE w:val="0"/>
        <w:autoSpaceDN w:val="0"/>
        <w:adjustRightInd w:val="0"/>
        <w:spacing w:after="0"/>
        <w:rPr>
          <w:rFonts w:cstheme="minorHAnsi"/>
          <w:lang w:val="nn-NO"/>
        </w:rPr>
      </w:pPr>
    </w:p>
    <w:p w:rsidR="00F232D3" w:rsidRPr="0013333D" w:rsidRDefault="00F232D3" w:rsidP="00650938">
      <w:pPr>
        <w:autoSpaceDE w:val="0"/>
        <w:autoSpaceDN w:val="0"/>
        <w:adjustRightInd w:val="0"/>
        <w:spacing w:after="0"/>
        <w:rPr>
          <w:rFonts w:cstheme="minorHAnsi"/>
          <w:lang w:val="nn-NO"/>
        </w:rPr>
      </w:pPr>
    </w:p>
    <w:p w:rsidR="00422A7D" w:rsidRDefault="00422A7D" w:rsidP="00650938">
      <w:pPr>
        <w:rPr>
          <w:b/>
          <w:lang w:val="nn-NO"/>
        </w:rPr>
      </w:pPr>
    </w:p>
    <w:p w:rsidR="00422A7D" w:rsidRDefault="00422A7D" w:rsidP="00650938">
      <w:pPr>
        <w:rPr>
          <w:b/>
          <w:lang w:val="nn-NO"/>
        </w:rPr>
      </w:pPr>
    </w:p>
    <w:p w:rsidR="00650938" w:rsidRPr="002F05BA" w:rsidRDefault="00650938" w:rsidP="00650938">
      <w:pPr>
        <w:rPr>
          <w:b/>
          <w:lang w:val="nn-NO"/>
        </w:rPr>
      </w:pPr>
      <w:r>
        <w:rPr>
          <w:b/>
          <w:lang w:val="nn-NO"/>
        </w:rPr>
        <w:t>Pride 2019</w:t>
      </w:r>
    </w:p>
    <w:p w:rsidR="00F43917" w:rsidRDefault="00650938" w:rsidP="00650938">
      <w:pPr>
        <w:rPr>
          <w:lang w:val="nn-NO"/>
        </w:rPr>
      </w:pPr>
      <w:r w:rsidRPr="002173F8">
        <w:rPr>
          <w:lang w:val="nn-NO"/>
        </w:rPr>
        <w:t xml:space="preserve">I 2019 hadde </w:t>
      </w:r>
      <w:r>
        <w:rPr>
          <w:lang w:val="nn-NO"/>
        </w:rPr>
        <w:t>ombodet</w:t>
      </w:r>
      <w:r w:rsidRPr="002173F8">
        <w:rPr>
          <w:lang w:val="nn-NO"/>
        </w:rPr>
        <w:t xml:space="preserve"> </w:t>
      </w:r>
      <w:r w:rsidRPr="006F6CE7">
        <w:rPr>
          <w:lang w:val="nn-NO"/>
        </w:rPr>
        <w:t>stand</w:t>
      </w:r>
      <w:r w:rsidRPr="002173F8">
        <w:rPr>
          <w:lang w:val="nn-NO"/>
        </w:rPr>
        <w:t xml:space="preserve"> i Pride Park saman med Nasjonal inst</w:t>
      </w:r>
      <w:r w:rsidR="0035110D">
        <w:rPr>
          <w:lang w:val="nn-NO"/>
        </w:rPr>
        <w:t>itusjon for menneskerettar</w:t>
      </w:r>
      <w:r w:rsidRPr="002173F8">
        <w:rPr>
          <w:lang w:val="nn-NO"/>
        </w:rPr>
        <w:t xml:space="preserve"> (NIM). </w:t>
      </w:r>
    </w:p>
    <w:p w:rsidR="00650938" w:rsidRPr="00EB3474" w:rsidRDefault="00650938" w:rsidP="00650938">
      <w:pPr>
        <w:rPr>
          <w:lang w:val="nn-NO"/>
        </w:rPr>
      </w:pPr>
      <w:r w:rsidRPr="00EB3474">
        <w:rPr>
          <w:lang w:val="nn-NO"/>
        </w:rPr>
        <w:t xml:space="preserve">Vi deltok også under </w:t>
      </w:r>
      <w:r w:rsidR="00085AB7">
        <w:rPr>
          <w:lang w:val="nn-NO"/>
        </w:rPr>
        <w:t>o</w:t>
      </w:r>
      <w:r w:rsidRPr="00EB3474">
        <w:rPr>
          <w:lang w:val="nn-NO"/>
        </w:rPr>
        <w:t>pning av Regnbuedag</w:t>
      </w:r>
      <w:r w:rsidR="00085AB7">
        <w:rPr>
          <w:lang w:val="nn-NO"/>
        </w:rPr>
        <w:t>a</w:t>
      </w:r>
      <w:r w:rsidRPr="00EB3474">
        <w:rPr>
          <w:lang w:val="nn-NO"/>
        </w:rPr>
        <w:t xml:space="preserve">ne i Bergen </w:t>
      </w:r>
      <w:r w:rsidR="008D67BB">
        <w:rPr>
          <w:lang w:val="nn-NO"/>
        </w:rPr>
        <w:t>og i debatt om dobbeltminoriteta</w:t>
      </w:r>
      <w:r w:rsidRPr="00EB3474">
        <w:rPr>
          <w:lang w:val="nn-NO"/>
        </w:rPr>
        <w:t xml:space="preserve">r som </w:t>
      </w:r>
      <w:r w:rsidR="009C28DC">
        <w:rPr>
          <w:lang w:val="nn-NO"/>
        </w:rPr>
        <w:t>særleg</w:t>
      </w:r>
      <w:r w:rsidR="00400E93">
        <w:rPr>
          <w:lang w:val="nn-NO"/>
        </w:rPr>
        <w:t xml:space="preserve"> fokuserte på LHBT-</w:t>
      </w:r>
      <w:r w:rsidR="008D67BB">
        <w:rPr>
          <w:lang w:val="nn-NO"/>
        </w:rPr>
        <w:t>personar</w:t>
      </w:r>
      <w:r w:rsidRPr="00EB3474">
        <w:rPr>
          <w:lang w:val="nn-NO"/>
        </w:rPr>
        <w:t xml:space="preserve"> med ne</w:t>
      </w:r>
      <w:r w:rsidR="00400E93">
        <w:rPr>
          <w:lang w:val="nn-NO"/>
        </w:rPr>
        <w:t>dsett funksjonsevne. Vi innleia også om kor viktig det er med</w:t>
      </w:r>
      <w:r w:rsidRPr="00EB3474">
        <w:rPr>
          <w:lang w:val="nn-NO"/>
        </w:rPr>
        <w:t xml:space="preserve"> kommunale handlingsplaner og inns</w:t>
      </w:r>
      <w:r w:rsidR="00400E93">
        <w:rPr>
          <w:lang w:val="nn-NO"/>
        </w:rPr>
        <w:t>ats mot hatkriminalitet på UNIO sin</w:t>
      </w:r>
      <w:r w:rsidRPr="00EB3474">
        <w:rPr>
          <w:lang w:val="nn-NO"/>
        </w:rPr>
        <w:t xml:space="preserve"> fagdag under Oslo Pride.</w:t>
      </w:r>
    </w:p>
    <w:p w:rsidR="00650938" w:rsidRPr="00EB3474" w:rsidRDefault="00650938" w:rsidP="00650938">
      <w:pPr>
        <w:rPr>
          <w:lang w:val="nn-NO"/>
        </w:rPr>
      </w:pPr>
    </w:p>
    <w:p w:rsidR="00650938" w:rsidRPr="00421A16" w:rsidRDefault="00650938" w:rsidP="00650938">
      <w:pPr>
        <w:rPr>
          <w:b/>
          <w:lang w:val="nn-NO"/>
        </w:rPr>
      </w:pPr>
      <w:r w:rsidRPr="00421A16">
        <w:rPr>
          <w:b/>
          <w:lang w:val="nn-NO"/>
        </w:rPr>
        <w:t>Arendalsveka</w:t>
      </w:r>
    </w:p>
    <w:p w:rsidR="00D97D2B" w:rsidRPr="00EB3474" w:rsidRDefault="00421A16" w:rsidP="00650938">
      <w:pPr>
        <w:rPr>
          <w:b/>
          <w:highlight w:val="yellow"/>
          <w:u w:val="single"/>
          <w:lang w:val="nn-NO"/>
        </w:rPr>
      </w:pPr>
      <w:r w:rsidRPr="005E7714">
        <w:rPr>
          <w:lang w:val="nn-NO"/>
        </w:rPr>
        <w:t>Under Arendalsveka deltok ombodet på ei rekkje arrange</w:t>
      </w:r>
      <w:r w:rsidR="00CF7461">
        <w:rPr>
          <w:lang w:val="nn-NO"/>
        </w:rPr>
        <w:t>ment</w:t>
      </w:r>
      <w:r w:rsidRPr="005E7714">
        <w:rPr>
          <w:lang w:val="nn-NO"/>
        </w:rPr>
        <w:t xml:space="preserve"> og heldt fleire innlegg, blant ann</w:t>
      </w:r>
      <w:r w:rsidR="00843BAA">
        <w:rPr>
          <w:lang w:val="nn-NO"/>
        </w:rPr>
        <w:t>a</w:t>
      </w:r>
      <w:r w:rsidRPr="005E7714">
        <w:rPr>
          <w:lang w:val="nn-NO"/>
        </w:rPr>
        <w:t xml:space="preserve"> om helsetenester til minor</w:t>
      </w:r>
      <w:r w:rsidR="005E01E2">
        <w:rPr>
          <w:lang w:val="nn-NO"/>
        </w:rPr>
        <w:t>itetskvinner, likestilling i sku</w:t>
      </w:r>
      <w:r w:rsidRPr="005E7714">
        <w:rPr>
          <w:lang w:val="nn-NO"/>
        </w:rPr>
        <w:t>len og tilrettelagt undervisning, likestilling i kommun</w:t>
      </w:r>
      <w:r w:rsidR="00843BAA">
        <w:rPr>
          <w:lang w:val="nn-NO"/>
        </w:rPr>
        <w:t>a</w:t>
      </w:r>
      <w:r w:rsidR="005E01E2">
        <w:rPr>
          <w:lang w:val="nn-NO"/>
        </w:rPr>
        <w:t>ne for persona</w:t>
      </w:r>
      <w:r w:rsidRPr="005E7714">
        <w:rPr>
          <w:lang w:val="nn-NO"/>
        </w:rPr>
        <w:t>r med neds</w:t>
      </w:r>
      <w:r w:rsidR="00843BAA">
        <w:rPr>
          <w:lang w:val="nn-NO"/>
        </w:rPr>
        <w:t>ett funksjonsevne og kronisk sju</w:t>
      </w:r>
      <w:r w:rsidRPr="005E7714">
        <w:rPr>
          <w:lang w:val="nn-NO"/>
        </w:rPr>
        <w:t>ke, psykisk helsevern og likestilling og «Folk møter folk»-arrange</w:t>
      </w:r>
      <w:r w:rsidR="005E01E2">
        <w:rPr>
          <w:lang w:val="nn-NO"/>
        </w:rPr>
        <w:t>me</w:t>
      </w:r>
      <w:r w:rsidR="00E57AF3">
        <w:rPr>
          <w:lang w:val="nn-NO"/>
        </w:rPr>
        <w:t>nt</w:t>
      </w:r>
      <w:r w:rsidRPr="005E7714">
        <w:rPr>
          <w:lang w:val="nn-NO"/>
        </w:rPr>
        <w:t>.</w:t>
      </w:r>
    </w:p>
    <w:p w:rsidR="00650938" w:rsidRDefault="00650938" w:rsidP="00650938">
      <w:pPr>
        <w:spacing w:after="80"/>
        <w:rPr>
          <w:b/>
          <w:bCs/>
          <w:lang w:val="nn-NO"/>
        </w:rPr>
      </w:pPr>
    </w:p>
    <w:p w:rsidR="00650938" w:rsidRPr="006202FB" w:rsidRDefault="00650938" w:rsidP="00650938">
      <w:pPr>
        <w:pStyle w:val="Overskrift2"/>
      </w:pPr>
      <w:bookmarkStart w:id="9" w:name="_Toc34915956"/>
      <w:r>
        <w:t>Endring gjennom sam</w:t>
      </w:r>
      <w:r w:rsidRPr="006202FB">
        <w:t>arbeid</w:t>
      </w:r>
      <w:bookmarkEnd w:id="9"/>
    </w:p>
    <w:p w:rsidR="00085AB7" w:rsidRDefault="00650938" w:rsidP="00623E7A">
      <w:pPr>
        <w:rPr>
          <w:lang w:val="nn-NO"/>
        </w:rPr>
      </w:pPr>
      <w:r w:rsidRPr="006202FB">
        <w:rPr>
          <w:lang w:val="nn-NO"/>
        </w:rPr>
        <w:t>Vi er avhengig</w:t>
      </w:r>
      <w:r>
        <w:rPr>
          <w:lang w:val="nn-NO"/>
        </w:rPr>
        <w:t>e</w:t>
      </w:r>
      <w:r w:rsidRPr="006202FB">
        <w:rPr>
          <w:lang w:val="nn-NO"/>
        </w:rPr>
        <w:t xml:space="preserve"> av å samarbeide med andre aktørar, for å nå våre mål om å hjelpe dei som har vore utsette for diskriminering og endre dei strukturane som skapar diskriminering. </w:t>
      </w:r>
    </w:p>
    <w:p w:rsidR="00623E7A" w:rsidRDefault="00623E7A" w:rsidP="00623E7A">
      <w:pPr>
        <w:rPr>
          <w:lang w:val="nn-NO"/>
        </w:rPr>
      </w:pPr>
      <w:r w:rsidRPr="00B42DBC">
        <w:rPr>
          <w:b/>
          <w:lang w:val="nn-NO"/>
        </w:rPr>
        <w:t>Samarbeidsavtalar</w:t>
      </w:r>
    </w:p>
    <w:p w:rsidR="00623E7A" w:rsidRPr="00085AB7" w:rsidRDefault="00843BAA" w:rsidP="00623E7A">
      <w:pPr>
        <w:rPr>
          <w:b/>
          <w:lang w:val="nn-NO"/>
        </w:rPr>
      </w:pPr>
      <w:r>
        <w:rPr>
          <w:lang w:val="nn-NO"/>
        </w:rPr>
        <w:t xml:space="preserve">LDO </w:t>
      </w:r>
      <w:r w:rsidR="00580F34">
        <w:rPr>
          <w:lang w:val="nn-NO"/>
        </w:rPr>
        <w:t>har mellom anna samarbeidsavtala</w:t>
      </w:r>
      <w:r>
        <w:rPr>
          <w:lang w:val="nn-NO"/>
        </w:rPr>
        <w:t xml:space="preserve">r med </w:t>
      </w:r>
      <w:r w:rsidR="00432F2F" w:rsidRPr="00843BAA">
        <w:rPr>
          <w:lang w:val="nn-NO"/>
        </w:rPr>
        <w:t>Sametinget, Bufdir, I</w:t>
      </w:r>
      <w:r>
        <w:rPr>
          <w:lang w:val="nn-NO"/>
        </w:rPr>
        <w:t>MD</w:t>
      </w:r>
      <w:r w:rsidR="00432F2F" w:rsidRPr="00843BAA">
        <w:rPr>
          <w:lang w:val="nn-NO"/>
        </w:rPr>
        <w:t>i og Arbeidstilsynet</w:t>
      </w:r>
      <w:r>
        <w:rPr>
          <w:lang w:val="nn-NO"/>
        </w:rPr>
        <w:t>.</w:t>
      </w:r>
      <w:r w:rsidR="00623E7A" w:rsidRPr="00B42DBC">
        <w:rPr>
          <w:b/>
          <w:lang w:val="nn-NO"/>
        </w:rPr>
        <w:t xml:space="preserve"> </w:t>
      </w:r>
      <w:r w:rsidR="00623E7A" w:rsidRPr="00B42DBC">
        <w:rPr>
          <w:lang w:val="nn-NO"/>
        </w:rPr>
        <w:t xml:space="preserve">Samarbeidsavtalen med Sametinget for 2017-2022 har som </w:t>
      </w:r>
      <w:r w:rsidR="00660DA8">
        <w:rPr>
          <w:lang w:val="nn-NO"/>
        </w:rPr>
        <w:t>føremål</w:t>
      </w:r>
      <w:r w:rsidR="00623E7A" w:rsidRPr="00B42DBC">
        <w:rPr>
          <w:lang w:val="nn-NO"/>
        </w:rPr>
        <w:t xml:space="preserve"> å støtte </w:t>
      </w:r>
      <w:r w:rsidR="00085AB7">
        <w:rPr>
          <w:lang w:val="nn-NO"/>
        </w:rPr>
        <w:t xml:space="preserve">opp </w:t>
      </w:r>
      <w:r w:rsidR="00862D1D">
        <w:rPr>
          <w:lang w:val="nn-NO"/>
        </w:rPr>
        <w:t>om kvarandre sitt</w:t>
      </w:r>
      <w:r w:rsidR="00623E7A" w:rsidRPr="00B42DBC">
        <w:rPr>
          <w:lang w:val="nn-NO"/>
        </w:rPr>
        <w:t xml:space="preserve"> arbeid med likestilling og ikkje-diskriminering. Kontakten og samarbeidet har i 2019 særleg handla om arbeid mot kjønnsbasert vald i nære relasjonar og mot rasisme.</w:t>
      </w:r>
    </w:p>
    <w:p w:rsidR="00623E7A" w:rsidRPr="00B42DBC" w:rsidRDefault="00623E7A" w:rsidP="00623E7A">
      <w:pPr>
        <w:rPr>
          <w:lang w:val="nn-NO"/>
        </w:rPr>
      </w:pPr>
    </w:p>
    <w:p w:rsidR="00650938" w:rsidRPr="006202FB" w:rsidRDefault="00650938" w:rsidP="00650938">
      <w:pPr>
        <w:pStyle w:val="Overskrift3"/>
      </w:pPr>
      <w:r w:rsidRPr="006202FB">
        <w:t>Samarbeid med sivilt samfunn</w:t>
      </w:r>
    </w:p>
    <w:p w:rsidR="00A9566B" w:rsidRDefault="00650938" w:rsidP="00623E7A">
      <w:pPr>
        <w:rPr>
          <w:lang w:val="nn-NO"/>
        </w:rPr>
      </w:pPr>
      <w:r w:rsidRPr="006202FB">
        <w:rPr>
          <w:lang w:val="nn-NO"/>
        </w:rPr>
        <w:t>Samarbeid med sivilt samfunn er viktig av fleire grunnar. Det er viktig for å styrk</w:t>
      </w:r>
      <w:r>
        <w:rPr>
          <w:lang w:val="nn-NO"/>
        </w:rPr>
        <w:t>e kunnskapen til ombodet</w:t>
      </w:r>
      <w:r w:rsidRPr="006202FB">
        <w:rPr>
          <w:lang w:val="nn-NO"/>
        </w:rPr>
        <w:t xml:space="preserve"> om røynslene til brukarane – dei som opplev</w:t>
      </w:r>
      <w:r>
        <w:rPr>
          <w:lang w:val="nn-NO"/>
        </w:rPr>
        <w:t xml:space="preserve">er </w:t>
      </w:r>
      <w:r w:rsidRPr="006202FB">
        <w:rPr>
          <w:lang w:val="nn-NO"/>
        </w:rPr>
        <w:t>diskriminering og mangel på likestilling i Noreg. Sivilt samfunn er v</w:t>
      </w:r>
      <w:r>
        <w:rPr>
          <w:lang w:val="nn-NO"/>
        </w:rPr>
        <w:t>iktige samarbeidspartnarar for ombodet</w:t>
      </w:r>
      <w:r w:rsidRPr="006202FB">
        <w:rPr>
          <w:lang w:val="nn-NO"/>
        </w:rPr>
        <w:t xml:space="preserve"> i tilsynsarbeidet ov</w:t>
      </w:r>
      <w:r>
        <w:rPr>
          <w:lang w:val="nn-NO"/>
        </w:rPr>
        <w:t>erfor</w:t>
      </w:r>
      <w:r w:rsidRPr="006202FB">
        <w:rPr>
          <w:lang w:val="nn-NO"/>
        </w:rPr>
        <w:t xml:space="preserve"> norske styresmakter, og i arbeidet med å skape engasje</w:t>
      </w:r>
      <w:r w:rsidR="004427AE">
        <w:rPr>
          <w:lang w:val="nn-NO"/>
        </w:rPr>
        <w:t>me</w:t>
      </w:r>
      <w:r w:rsidR="00E57AF3">
        <w:rPr>
          <w:lang w:val="nn-NO"/>
        </w:rPr>
        <w:t>nt</w:t>
      </w:r>
      <w:r w:rsidRPr="006202FB">
        <w:rPr>
          <w:lang w:val="nn-NO"/>
        </w:rPr>
        <w:t xml:space="preserve"> for likestilling.</w:t>
      </w:r>
      <w:bookmarkStart w:id="10" w:name="_Toc9506397"/>
    </w:p>
    <w:p w:rsidR="00085AB7" w:rsidRPr="00B42DBC" w:rsidRDefault="00085AB7" w:rsidP="00623E7A">
      <w:pPr>
        <w:rPr>
          <w:lang w:val="nn-NO"/>
        </w:rPr>
      </w:pPr>
    </w:p>
    <w:p w:rsidR="00650938" w:rsidRPr="00D60055" w:rsidRDefault="00650938" w:rsidP="00650938">
      <w:pPr>
        <w:pStyle w:val="Overskrift3"/>
      </w:pPr>
      <w:r w:rsidRPr="009D01CA">
        <w:t>Brukarutvalet</w:t>
      </w:r>
      <w:bookmarkEnd w:id="10"/>
      <w:r>
        <w:rPr>
          <w:rStyle w:val="Fotnotereferanse"/>
        </w:rPr>
        <w:footnoteReference w:id="1"/>
      </w:r>
    </w:p>
    <w:p w:rsidR="00650938" w:rsidRPr="005C497F" w:rsidRDefault="00650938" w:rsidP="00650938">
      <w:pPr>
        <w:rPr>
          <w:lang w:val="nn-NO"/>
        </w:rPr>
      </w:pPr>
      <w:r w:rsidRPr="005C497F">
        <w:rPr>
          <w:lang w:val="nn-NO"/>
        </w:rPr>
        <w:t xml:space="preserve">Ombodet har eit brukarutval med representantar frå 14 frivillige organisasjonar. Brukarutvalet er ombodet sin arena for </w:t>
      </w:r>
      <w:r w:rsidR="004427AE">
        <w:rPr>
          <w:lang w:val="nn-NO"/>
        </w:rPr>
        <w:t xml:space="preserve">å utveksle erfaring og kunnskap om diskriminering. </w:t>
      </w:r>
      <w:r w:rsidR="00175DF1">
        <w:rPr>
          <w:lang w:val="nn-NO"/>
        </w:rPr>
        <w:t>Føremålet</w:t>
      </w:r>
      <w:r w:rsidRPr="005C497F">
        <w:rPr>
          <w:lang w:val="nn-NO"/>
        </w:rPr>
        <w:t xml:space="preserve"> er først og fremst å ha ein samanhengande kontakt med dei som opplever diskriminering i Noreg i </w:t>
      </w:r>
      <w:r w:rsidR="00305782">
        <w:rPr>
          <w:lang w:val="nn-NO"/>
        </w:rPr>
        <w:t>dag. Føremålet</w:t>
      </w:r>
      <w:r w:rsidRPr="005C497F">
        <w:rPr>
          <w:lang w:val="nn-NO"/>
        </w:rPr>
        <w:t xml:space="preserve"> er også å forstå kompleksiteten i diskrimineringa, og å skape forankring og </w:t>
      </w:r>
      <w:r w:rsidRPr="005C497F">
        <w:rPr>
          <w:lang w:val="nn-NO"/>
        </w:rPr>
        <w:lastRenderedPageBreak/>
        <w:t>gjennomslag for samarbeidet, både i ombodet og i utvalsmedlemmane sine</w:t>
      </w:r>
      <w:r w:rsidRPr="00C65B86">
        <w:rPr>
          <w:lang w:val="nn-NO"/>
        </w:rPr>
        <w:t xml:space="preserve"> organisasjonar</w:t>
      </w:r>
      <w:r w:rsidRPr="005C497F">
        <w:rPr>
          <w:lang w:val="nn-NO"/>
        </w:rPr>
        <w:t xml:space="preserve"> og nettverk.</w:t>
      </w:r>
    </w:p>
    <w:p w:rsidR="002D2511" w:rsidRDefault="00650938" w:rsidP="00650938">
      <w:pPr>
        <w:rPr>
          <w:lang w:val="nn-NO"/>
        </w:rPr>
      </w:pPr>
      <w:r w:rsidRPr="002D19A2">
        <w:rPr>
          <w:lang w:val="nn-NO"/>
        </w:rPr>
        <w:t>I 2019 har det vore halde fire møter. Av viktige saker som har vore drøfta er</w:t>
      </w:r>
      <w:r w:rsidR="00EF06A8" w:rsidRPr="002D19A2">
        <w:rPr>
          <w:lang w:val="nn-NO"/>
        </w:rPr>
        <w:t xml:space="preserve"> LDO sine</w:t>
      </w:r>
      <w:r w:rsidRPr="002D19A2">
        <w:rPr>
          <w:lang w:val="nn-NO"/>
        </w:rPr>
        <w:t xml:space="preserve"> anbefalingar til CRPD (</w:t>
      </w:r>
      <w:r w:rsidRPr="002D19A2">
        <w:rPr>
          <w:rFonts w:ascii="Open Sans" w:hAnsi="Open Sans"/>
          <w:color w:val="000000"/>
          <w:lang w:val="nn-NO"/>
        </w:rPr>
        <w:t>FN-konvensjonen om rettar til menneske med nedsett funksjonsevne)</w:t>
      </w:r>
      <w:r w:rsidRPr="002D19A2">
        <w:rPr>
          <w:lang w:val="nn-NO"/>
        </w:rPr>
        <w:t xml:space="preserve"> og CERD (</w:t>
      </w:r>
      <w:r w:rsidRPr="002D19A2">
        <w:rPr>
          <w:rFonts w:ascii="Open Sans" w:hAnsi="Open Sans"/>
          <w:color w:val="000000"/>
          <w:lang w:val="nn-NO"/>
        </w:rPr>
        <w:t>FN</w:t>
      </w:r>
      <w:r w:rsidR="002D19A2">
        <w:rPr>
          <w:rFonts w:ascii="Open Sans" w:hAnsi="Open Sans"/>
          <w:color w:val="000000"/>
          <w:lang w:val="nn-NO"/>
        </w:rPr>
        <w:t>-</w:t>
      </w:r>
      <w:r w:rsidRPr="002D19A2">
        <w:rPr>
          <w:rFonts w:ascii="Open Sans" w:hAnsi="Open Sans"/>
          <w:color w:val="000000"/>
          <w:lang w:val="nn-NO"/>
        </w:rPr>
        <w:t>konvensjon</w:t>
      </w:r>
      <w:r w:rsidR="002D19A2">
        <w:rPr>
          <w:rFonts w:ascii="Open Sans" w:hAnsi="Open Sans"/>
          <w:color w:val="000000"/>
          <w:lang w:val="nn-NO"/>
        </w:rPr>
        <w:t>en</w:t>
      </w:r>
      <w:r w:rsidRPr="002D19A2">
        <w:rPr>
          <w:rFonts w:ascii="Open Sans" w:hAnsi="Open Sans"/>
          <w:color w:val="000000"/>
          <w:lang w:val="nn-NO"/>
        </w:rPr>
        <w:t xml:space="preserve"> mot rasediskriminering)</w:t>
      </w:r>
      <w:r w:rsidRPr="002D19A2">
        <w:rPr>
          <w:lang w:val="nn-NO"/>
        </w:rPr>
        <w:t>, behovet organisasjonane har for å bygg</w:t>
      </w:r>
      <w:r w:rsidR="007349F1" w:rsidRPr="002D19A2">
        <w:rPr>
          <w:lang w:val="nn-NO"/>
        </w:rPr>
        <w:t>je opp ei</w:t>
      </w:r>
      <w:r w:rsidRPr="002D19A2">
        <w:rPr>
          <w:lang w:val="nn-NO"/>
        </w:rPr>
        <w:t xml:space="preserve"> diskrimineringssak og endringar i aktivitets- og utgreiingsplikta.</w:t>
      </w:r>
    </w:p>
    <w:p w:rsidR="004B7D95" w:rsidRDefault="004B7D95" w:rsidP="00650938">
      <w:pPr>
        <w:rPr>
          <w:lang w:val="nn-NO"/>
        </w:rPr>
      </w:pPr>
    </w:p>
    <w:p w:rsidR="004B7D95" w:rsidRPr="00EB3474" w:rsidRDefault="004B7D95" w:rsidP="004B7D95">
      <w:pPr>
        <w:rPr>
          <w:sz w:val="22"/>
          <w:szCs w:val="22"/>
          <w:lang w:val="nn-NO"/>
        </w:rPr>
      </w:pPr>
      <w:r w:rsidRPr="004B7D95">
        <w:rPr>
          <w:b/>
          <w:bCs/>
          <w:lang w:val="nn-NO"/>
        </w:rPr>
        <w:t>Hatkrimnettverket</w:t>
      </w:r>
    </w:p>
    <w:p w:rsidR="004B7D95" w:rsidRPr="004B7D95" w:rsidRDefault="004B7D95" w:rsidP="004B7D95">
      <w:pPr>
        <w:rPr>
          <w:lang w:val="nn-NO"/>
        </w:rPr>
      </w:pPr>
      <w:r w:rsidRPr="004B7D95">
        <w:rPr>
          <w:lang w:val="nn-NO"/>
        </w:rPr>
        <w:t>Likestillings- og diskrimineringsombodet koordinerer eit nettverk beståande av 15 sentrale organisasjonar frå sivilsamfunnet som representerer ulike grupper som er særleg utsett for hatkriminalitet. I nettverket sit òg representantar frå Oslo politidistr</w:t>
      </w:r>
      <w:r>
        <w:rPr>
          <w:lang w:val="nn-NO"/>
        </w:rPr>
        <w:t>ikt, KRIPOS, K</w:t>
      </w:r>
      <w:r w:rsidRPr="004B7D95">
        <w:rPr>
          <w:lang w:val="nn-NO"/>
        </w:rPr>
        <w:t>ultur</w:t>
      </w:r>
      <w:r>
        <w:rPr>
          <w:lang w:val="nn-NO"/>
        </w:rPr>
        <w:t>- og likestillings</w:t>
      </w:r>
      <w:r w:rsidRPr="004B7D95">
        <w:rPr>
          <w:lang w:val="nn-NO"/>
        </w:rPr>
        <w:t>departe</w:t>
      </w:r>
      <w:r w:rsidR="00A44861">
        <w:rPr>
          <w:lang w:val="nn-NO"/>
        </w:rPr>
        <w:t>me</w:t>
      </w:r>
      <w:r w:rsidR="00E57AF3">
        <w:rPr>
          <w:lang w:val="nn-NO"/>
        </w:rPr>
        <w:t>nt</w:t>
      </w:r>
      <w:r w:rsidRPr="004B7D95">
        <w:rPr>
          <w:lang w:val="nn-NO"/>
        </w:rPr>
        <w:t>et, Justis- og beredskapsdeparte</w:t>
      </w:r>
      <w:r w:rsidR="00A44861">
        <w:rPr>
          <w:lang w:val="nn-NO"/>
        </w:rPr>
        <w:t>me</w:t>
      </w:r>
      <w:r w:rsidR="00E57AF3">
        <w:rPr>
          <w:lang w:val="nn-NO"/>
        </w:rPr>
        <w:t>nt</w:t>
      </w:r>
      <w:r w:rsidRPr="004B7D95">
        <w:rPr>
          <w:lang w:val="nn-NO"/>
        </w:rPr>
        <w:t xml:space="preserve">et og BUFDIR som observatørar. Nettverket </w:t>
      </w:r>
      <w:r w:rsidR="00A44861">
        <w:rPr>
          <w:lang w:val="nn-NO"/>
        </w:rPr>
        <w:t>arbeider saman for å styrkje</w:t>
      </w:r>
      <w:r w:rsidRPr="004B7D95">
        <w:rPr>
          <w:lang w:val="nn-NO"/>
        </w:rPr>
        <w:t xml:space="preserve"> det nasjonale arbeidet mot hatkriminalitet, og kallar seg Hatkrimnettverket. Nettverket har i år hatt særleg fokus på arbeidet i politiet, og </w:t>
      </w:r>
      <w:r w:rsidR="00A44861">
        <w:rPr>
          <w:lang w:val="nn-NO"/>
        </w:rPr>
        <w:t xml:space="preserve">har </w:t>
      </w:r>
      <w:r w:rsidRPr="004B7D95">
        <w:rPr>
          <w:lang w:val="nn-NO"/>
        </w:rPr>
        <w:t>vore pådrivar for at alle politidistrikta i Noreg arbeider systematisk med hatkriminalitet</w:t>
      </w:r>
      <w:r>
        <w:rPr>
          <w:lang w:val="nn-NO"/>
        </w:rPr>
        <w:t>.</w:t>
      </w:r>
    </w:p>
    <w:p w:rsidR="00650938" w:rsidRPr="004B7D95" w:rsidRDefault="00650938" w:rsidP="004B7D95">
      <w:pPr>
        <w:rPr>
          <w:lang w:val="nn-NO"/>
        </w:rPr>
      </w:pPr>
    </w:p>
    <w:p w:rsidR="00650938" w:rsidRPr="004D21F0" w:rsidRDefault="00650938" w:rsidP="00650938">
      <w:pPr>
        <w:pStyle w:val="Overskrift3"/>
      </w:pPr>
      <w:r w:rsidRPr="004D21F0">
        <w:t xml:space="preserve">Samarbeid med statlege verksemder </w:t>
      </w:r>
    </w:p>
    <w:p w:rsidR="00650938" w:rsidRPr="004D21F0" w:rsidRDefault="00650938" w:rsidP="00650938">
      <w:pPr>
        <w:rPr>
          <w:rFonts w:ascii="Open Sans" w:hAnsi="Open Sans"/>
          <w:color w:val="000000"/>
          <w:lang w:val="nn-NO"/>
        </w:rPr>
      </w:pPr>
      <w:r w:rsidRPr="004D21F0">
        <w:rPr>
          <w:rFonts w:ascii="Open Sans" w:hAnsi="Open Sans"/>
          <w:color w:val="000000"/>
          <w:lang w:val="nn-NO"/>
        </w:rPr>
        <w:t>Ombodet har sidan 2009 v</w:t>
      </w:r>
      <w:r w:rsidR="00F168AA">
        <w:rPr>
          <w:rFonts w:ascii="Open Sans" w:hAnsi="Open Sans"/>
          <w:color w:val="000000"/>
          <w:lang w:val="nn-NO"/>
        </w:rPr>
        <w:t>ore medlem i det statle</w:t>
      </w:r>
      <w:r>
        <w:rPr>
          <w:rFonts w:ascii="Open Sans" w:hAnsi="Open Sans"/>
          <w:color w:val="000000"/>
          <w:lang w:val="nn-NO"/>
        </w:rPr>
        <w:t>ge mangfa</w:t>
      </w:r>
      <w:r w:rsidRPr="004D21F0">
        <w:rPr>
          <w:rFonts w:ascii="Open Sans" w:hAnsi="Open Sans"/>
          <w:color w:val="000000"/>
          <w:lang w:val="nn-NO"/>
        </w:rPr>
        <w:t>ldsnettverket som består av representantar frå Skattedirek</w:t>
      </w:r>
      <w:r w:rsidR="00F3358D">
        <w:rPr>
          <w:rFonts w:ascii="Open Sans" w:hAnsi="Open Sans"/>
          <w:color w:val="000000"/>
          <w:lang w:val="nn-NO"/>
        </w:rPr>
        <w:t>toratet, Integrerings- og mangfo</w:t>
      </w:r>
      <w:r w:rsidRPr="004D21F0">
        <w:rPr>
          <w:rFonts w:ascii="Open Sans" w:hAnsi="Open Sans"/>
          <w:color w:val="000000"/>
          <w:lang w:val="nn-NO"/>
        </w:rPr>
        <w:t>ldsdirektoratet, Forsvarsstaben, Politidirektoratet, Arbeids- og velferdsdirektoratet, Tolldirektoratet, Barne</w:t>
      </w:r>
      <w:r>
        <w:rPr>
          <w:rFonts w:ascii="Open Sans" w:hAnsi="Open Sans"/>
          <w:color w:val="000000"/>
          <w:lang w:val="nn-NO"/>
        </w:rPr>
        <w:t>-, ungdoms- og familiedirektorate</w:t>
      </w:r>
      <w:r w:rsidRPr="004D21F0">
        <w:rPr>
          <w:rFonts w:ascii="Open Sans" w:hAnsi="Open Sans"/>
          <w:color w:val="000000"/>
          <w:lang w:val="nn-NO"/>
        </w:rPr>
        <w:t xml:space="preserve">t, Vegdirektoratet og Direktoratet for forvaltning og økonomistyring. </w:t>
      </w:r>
    </w:p>
    <w:p w:rsidR="00650938" w:rsidRPr="009B4DA1" w:rsidRDefault="00F168AA" w:rsidP="002D2511">
      <w:pPr>
        <w:rPr>
          <w:rFonts w:eastAsiaTheme="minorHAnsi"/>
          <w:lang w:val="nn-NO" w:eastAsia="en-US"/>
        </w:rPr>
      </w:pPr>
      <w:r>
        <w:rPr>
          <w:rFonts w:ascii="Open Sans" w:hAnsi="Open Sans"/>
          <w:color w:val="000000"/>
          <w:lang w:val="nn-NO"/>
        </w:rPr>
        <w:t>Det statle</w:t>
      </w:r>
      <w:r w:rsidR="00650938">
        <w:rPr>
          <w:rFonts w:ascii="Open Sans" w:hAnsi="Open Sans"/>
          <w:color w:val="000000"/>
          <w:lang w:val="nn-NO"/>
        </w:rPr>
        <w:t>ge mangfa</w:t>
      </w:r>
      <w:r w:rsidR="00F22A97">
        <w:rPr>
          <w:rFonts w:ascii="Open Sans" w:hAnsi="Open Sans"/>
          <w:color w:val="000000"/>
          <w:lang w:val="nn-NO"/>
        </w:rPr>
        <w:t xml:space="preserve">ldsnettverket skal gje råd og veiledning, og dele erfaringar om likestillingstiltak i </w:t>
      </w:r>
      <w:r w:rsidR="00650938" w:rsidRPr="004D21F0">
        <w:rPr>
          <w:rFonts w:ascii="Open Sans" w:hAnsi="Open Sans"/>
          <w:color w:val="000000"/>
          <w:lang w:val="nn-NO"/>
        </w:rPr>
        <w:t>offentleg sektor</w:t>
      </w:r>
      <w:r w:rsidR="00F22A97">
        <w:rPr>
          <w:rFonts w:ascii="Open Sans" w:hAnsi="Open Sans"/>
          <w:color w:val="000000"/>
          <w:lang w:val="nn-NO"/>
        </w:rPr>
        <w:t xml:space="preserve">. </w:t>
      </w:r>
      <w:r w:rsidR="00650938">
        <w:rPr>
          <w:rFonts w:ascii="Open Sans" w:hAnsi="Open Sans"/>
          <w:color w:val="000000"/>
          <w:lang w:val="nn-NO"/>
        </w:rPr>
        <w:t>Mangfa</w:t>
      </w:r>
      <w:r w:rsidR="00650938" w:rsidRPr="004D21F0">
        <w:rPr>
          <w:rFonts w:ascii="Open Sans" w:hAnsi="Open Sans"/>
          <w:color w:val="000000"/>
          <w:lang w:val="nn-NO"/>
        </w:rPr>
        <w:t>ldsnettverket er ein aktiv pådrivar</w:t>
      </w:r>
      <w:r w:rsidR="00650938">
        <w:rPr>
          <w:rFonts w:ascii="Open Sans" w:hAnsi="Open Sans"/>
          <w:color w:val="000000"/>
          <w:lang w:val="nn-NO"/>
        </w:rPr>
        <w:t xml:space="preserve"> for å sette arbeidet med mangfa</w:t>
      </w:r>
      <w:r w:rsidR="00650938" w:rsidRPr="004D21F0">
        <w:rPr>
          <w:rFonts w:ascii="Open Sans" w:hAnsi="Open Sans"/>
          <w:color w:val="000000"/>
          <w:lang w:val="nn-NO"/>
        </w:rPr>
        <w:t>ld på agendaen, blant anna gjenno</w:t>
      </w:r>
      <w:r w:rsidR="00650938">
        <w:rPr>
          <w:rFonts w:ascii="Open Sans" w:hAnsi="Open Sans"/>
          <w:color w:val="000000"/>
          <w:lang w:val="nn-NO"/>
        </w:rPr>
        <w:t>m fagdagar.</w:t>
      </w:r>
    </w:p>
    <w:p w:rsidR="00650938" w:rsidRDefault="00650938" w:rsidP="00650938">
      <w:pPr>
        <w:rPr>
          <w:lang w:val="nn-NO"/>
        </w:rPr>
      </w:pPr>
    </w:p>
    <w:p w:rsidR="00650938" w:rsidRPr="00D27191" w:rsidRDefault="00650938" w:rsidP="00650938">
      <w:pPr>
        <w:rPr>
          <w:b/>
          <w:lang w:val="nn-NO"/>
        </w:rPr>
      </w:pPr>
      <w:r>
        <w:rPr>
          <w:b/>
          <w:lang w:val="nn-NO"/>
        </w:rPr>
        <w:t xml:space="preserve">Nordisk samarbeid </w:t>
      </w:r>
    </w:p>
    <w:p w:rsidR="00650938" w:rsidRDefault="00650938" w:rsidP="00650938">
      <w:pPr>
        <w:rPr>
          <w:lang w:val="nn-NO"/>
        </w:rPr>
      </w:pPr>
      <w:r w:rsidRPr="00D27191">
        <w:rPr>
          <w:lang w:val="nn-NO"/>
        </w:rPr>
        <w:t>Likestillings- og diskrimineringsombodet deltok på Nordisk ombodsmøte i København i september 2019</w:t>
      </w:r>
      <w:r>
        <w:rPr>
          <w:lang w:val="nn-NO"/>
        </w:rPr>
        <w:t>, saman med</w:t>
      </w:r>
      <w:r w:rsidRPr="00D27191">
        <w:rPr>
          <w:lang w:val="nn-NO"/>
        </w:rPr>
        <w:t xml:space="preserve"> tilreisande frå Finland, Grønland, Island, Sverige og Åland. På programmet stod mellom anna muslimfiend</w:t>
      </w:r>
      <w:r w:rsidR="002D3384">
        <w:rPr>
          <w:lang w:val="nn-NO"/>
        </w:rPr>
        <w:t>s</w:t>
      </w:r>
      <w:r w:rsidR="00F168AA">
        <w:rPr>
          <w:lang w:val="nn-NO"/>
        </w:rPr>
        <w:t>legheit</w:t>
      </w:r>
      <w:r w:rsidRPr="00D27191">
        <w:rPr>
          <w:lang w:val="nn-NO"/>
        </w:rPr>
        <w:t xml:space="preserve"> og muslimhat, </w:t>
      </w:r>
      <w:r w:rsidR="002D3384">
        <w:rPr>
          <w:lang w:val="nn-NO"/>
        </w:rPr>
        <w:t>bruk av algoritma</w:t>
      </w:r>
      <w:r>
        <w:rPr>
          <w:lang w:val="nn-NO"/>
        </w:rPr>
        <w:t xml:space="preserve">r og </w:t>
      </w:r>
      <w:r w:rsidR="002D3384">
        <w:rPr>
          <w:lang w:val="nn-NO"/>
        </w:rPr>
        <w:t xml:space="preserve">mogleg </w:t>
      </w:r>
      <w:r>
        <w:rPr>
          <w:lang w:val="nn-NO"/>
        </w:rPr>
        <w:t>diskriminering, i tillegg til faglege diskusjonar og utveksling av aktuelle sakar frå dei nordiske deltakarane.</w:t>
      </w:r>
    </w:p>
    <w:p w:rsidR="006C0317" w:rsidRDefault="006C0317" w:rsidP="00650938">
      <w:pPr>
        <w:rPr>
          <w:lang w:val="nn-NO"/>
        </w:rPr>
      </w:pPr>
    </w:p>
    <w:p w:rsidR="00A9566B" w:rsidRDefault="00A9566B" w:rsidP="00650938">
      <w:pPr>
        <w:rPr>
          <w:b/>
          <w:lang w:val="nn-NO"/>
        </w:rPr>
      </w:pPr>
    </w:p>
    <w:p w:rsidR="00650938" w:rsidRPr="00400B65" w:rsidRDefault="00650938" w:rsidP="00650938">
      <w:pPr>
        <w:rPr>
          <w:b/>
          <w:lang w:val="nn-NO"/>
        </w:rPr>
      </w:pPr>
      <w:r w:rsidRPr="00400B65">
        <w:rPr>
          <w:b/>
          <w:lang w:val="nn-NO"/>
        </w:rPr>
        <w:t>Europeisk samarbeid</w:t>
      </w:r>
    </w:p>
    <w:p w:rsidR="00650938" w:rsidRPr="001D0BDE" w:rsidRDefault="00650938" w:rsidP="00650938">
      <w:pPr>
        <w:rPr>
          <w:color w:val="1F497D"/>
          <w:lang w:val="nn-NO"/>
        </w:rPr>
      </w:pPr>
      <w:r w:rsidRPr="008A41A8">
        <w:rPr>
          <w:lang w:val="nn-NO"/>
        </w:rPr>
        <w:t>Likestillings- og diskrimineringsombodet er medlem av Equinet, det europeiske net</w:t>
      </w:r>
      <w:r w:rsidR="00FC1ED0">
        <w:rPr>
          <w:lang w:val="nn-NO"/>
        </w:rPr>
        <w:t>tverket for likestillingsorgan</w:t>
      </w:r>
      <w:r w:rsidRPr="008A41A8">
        <w:rPr>
          <w:lang w:val="nn-NO"/>
        </w:rPr>
        <w:t xml:space="preserve">. </w:t>
      </w:r>
      <w:r w:rsidR="00702265">
        <w:rPr>
          <w:lang w:val="nn-NO"/>
        </w:rPr>
        <w:t xml:space="preserve">Equinet </w:t>
      </w:r>
      <w:r w:rsidR="00FC1ED0">
        <w:rPr>
          <w:lang w:val="nn-NO"/>
        </w:rPr>
        <w:t>er ei</w:t>
      </w:r>
      <w:r w:rsidRPr="008A41A8">
        <w:rPr>
          <w:lang w:val="nn-NO"/>
        </w:rPr>
        <w:t xml:space="preserve"> plattform for samarbeid, </w:t>
      </w:r>
      <w:r w:rsidR="00FC1ED0">
        <w:rPr>
          <w:lang w:val="nn-NO"/>
        </w:rPr>
        <w:t xml:space="preserve">byggjing av kapasitet og deling av kunnskap. </w:t>
      </w:r>
      <w:r w:rsidRPr="008A41A8">
        <w:rPr>
          <w:lang w:val="nn-NO"/>
        </w:rPr>
        <w:t xml:space="preserve">Diskrimineringsjussen er </w:t>
      </w:r>
      <w:r w:rsidR="00FC1ED0">
        <w:rPr>
          <w:lang w:val="nn-NO"/>
        </w:rPr>
        <w:t>i stor grad blitt vidareutvikla gjennom EU</w:t>
      </w:r>
      <w:r w:rsidR="00D02E01">
        <w:rPr>
          <w:lang w:val="nn-NO"/>
        </w:rPr>
        <w:t>-direktiv</w:t>
      </w:r>
      <w:r w:rsidRPr="008A41A8">
        <w:rPr>
          <w:lang w:val="nn-NO"/>
        </w:rPr>
        <w:t xml:space="preserve"> som </w:t>
      </w:r>
      <w:r w:rsidR="00FC1ED0">
        <w:rPr>
          <w:lang w:val="nn-NO"/>
        </w:rPr>
        <w:t>også har lagt grunnlaget for mykje</w:t>
      </w:r>
      <w:r w:rsidRPr="008A41A8">
        <w:rPr>
          <w:lang w:val="nn-NO"/>
        </w:rPr>
        <w:t xml:space="preserve"> av norsk lovg</w:t>
      </w:r>
      <w:r w:rsidR="00FC1ED0">
        <w:rPr>
          <w:lang w:val="nn-NO"/>
        </w:rPr>
        <w:t>jeving</w:t>
      </w:r>
      <w:r w:rsidRPr="008A41A8">
        <w:rPr>
          <w:lang w:val="nn-NO"/>
        </w:rPr>
        <w:t xml:space="preserve"> på feltet. </w:t>
      </w:r>
      <w:r w:rsidR="00FA0EC1" w:rsidRPr="001D0BDE">
        <w:rPr>
          <w:lang w:val="nn-NO"/>
        </w:rPr>
        <w:t>Også utover det rettslege skjer det mykje</w:t>
      </w:r>
      <w:r w:rsidR="007A4FE1" w:rsidRPr="001D0BDE">
        <w:rPr>
          <w:lang w:val="nn-NO"/>
        </w:rPr>
        <w:t xml:space="preserve"> på likestillingsfeltet i </w:t>
      </w:r>
      <w:r w:rsidR="006A0EE9" w:rsidRPr="001D0BDE">
        <w:rPr>
          <w:lang w:val="nn-NO"/>
        </w:rPr>
        <w:t xml:space="preserve">EU, </w:t>
      </w:r>
      <w:r w:rsidR="007A4FE1" w:rsidRPr="001D0BDE">
        <w:rPr>
          <w:lang w:val="nn-NO"/>
        </w:rPr>
        <w:t xml:space="preserve">blant </w:t>
      </w:r>
      <w:r w:rsidR="00E57AF3" w:rsidRPr="001D0BDE">
        <w:rPr>
          <w:lang w:val="nn-NO"/>
        </w:rPr>
        <w:t>anna</w:t>
      </w:r>
      <w:r w:rsidR="007A4FE1" w:rsidRPr="001D0BDE">
        <w:rPr>
          <w:lang w:val="nn-NO"/>
        </w:rPr>
        <w:t xml:space="preserve"> </w:t>
      </w:r>
      <w:r w:rsidR="00FA0EC1" w:rsidRPr="001D0BDE">
        <w:rPr>
          <w:lang w:val="nn-NO"/>
        </w:rPr>
        <w:t>når det gjeld</w:t>
      </w:r>
      <w:r w:rsidR="00CF7D72" w:rsidRPr="001D0BDE">
        <w:rPr>
          <w:lang w:val="nn-NO"/>
        </w:rPr>
        <w:t xml:space="preserve"> å undersøkje omfang</w:t>
      </w:r>
      <w:r w:rsidR="00D02E01" w:rsidRPr="001D0BDE">
        <w:rPr>
          <w:lang w:val="nn-NO"/>
        </w:rPr>
        <w:t xml:space="preserve"> av ulike problemstillingar, utarbeiing av statistikkar, rapportar og metodikk for å arbeide med likestilling og mot diskriminering. </w:t>
      </w:r>
      <w:r w:rsidR="00255232" w:rsidRPr="001D0BDE">
        <w:rPr>
          <w:lang w:val="nn-NO"/>
        </w:rPr>
        <w:t>Ombodet</w:t>
      </w:r>
      <w:r w:rsidR="00FA5E75" w:rsidRPr="001D0BDE">
        <w:rPr>
          <w:lang w:val="nn-NO"/>
        </w:rPr>
        <w:t xml:space="preserve"> deltek</w:t>
      </w:r>
      <w:r w:rsidR="006A0EE9" w:rsidRPr="001D0BDE">
        <w:rPr>
          <w:lang w:val="nn-NO"/>
        </w:rPr>
        <w:t xml:space="preserve"> i </w:t>
      </w:r>
      <w:r w:rsidR="003922CD" w:rsidRPr="001D0BDE">
        <w:rPr>
          <w:lang w:val="nn-NO"/>
        </w:rPr>
        <w:t>tre arbeidsgrupper i nettverket:</w:t>
      </w:r>
      <w:r w:rsidR="00FA5E75" w:rsidRPr="001D0BDE">
        <w:rPr>
          <w:lang w:val="nn-NO"/>
        </w:rPr>
        <w:t xml:space="preserve"> ei om kjønnslikestilling, ei om diskrimineringsjussen og ei</w:t>
      </w:r>
      <w:r w:rsidR="006A0EE9" w:rsidRPr="001D0BDE">
        <w:rPr>
          <w:lang w:val="nn-NO"/>
        </w:rPr>
        <w:t xml:space="preserve"> kommunikasjonsgruppe.</w:t>
      </w:r>
      <w:r w:rsidR="006A0EE9" w:rsidRPr="001D0BDE">
        <w:rPr>
          <w:color w:val="1F497D"/>
          <w:lang w:val="nn-NO"/>
        </w:rPr>
        <w:t xml:space="preserve">  </w:t>
      </w:r>
    </w:p>
    <w:p w:rsidR="006C0317" w:rsidRPr="001D0BDE" w:rsidRDefault="006C0317" w:rsidP="00650938">
      <w:pPr>
        <w:rPr>
          <w:color w:val="1F497D"/>
          <w:lang w:val="nn-NO"/>
        </w:rPr>
      </w:pPr>
    </w:p>
    <w:p w:rsidR="006C0317" w:rsidRPr="001D0BDE" w:rsidRDefault="006C0317" w:rsidP="006C0317">
      <w:pPr>
        <w:spacing w:before="0" w:after="160" w:line="259" w:lineRule="auto"/>
        <w:rPr>
          <w:rFonts w:eastAsiaTheme="minorHAnsi"/>
          <w:b/>
          <w:lang w:val="nn-NO" w:eastAsia="en-US"/>
        </w:rPr>
      </w:pPr>
      <w:r w:rsidRPr="001D0BDE">
        <w:rPr>
          <w:rFonts w:eastAsiaTheme="minorHAnsi"/>
          <w:b/>
          <w:lang w:val="nn-NO" w:eastAsia="en-US"/>
        </w:rPr>
        <w:lastRenderedPageBreak/>
        <w:t xml:space="preserve">Portugal-programmet: Work Life Balance and Gender Equality </w:t>
      </w:r>
    </w:p>
    <w:p w:rsidR="006C0317" w:rsidRPr="00620219" w:rsidRDefault="006C0317" w:rsidP="006C0317">
      <w:pPr>
        <w:spacing w:before="0" w:after="160" w:line="259" w:lineRule="auto"/>
      </w:pPr>
      <w:r w:rsidRPr="0030446D">
        <w:rPr>
          <w:rFonts w:eastAsiaTheme="minorHAnsi"/>
          <w:lang w:val="nn-NO" w:eastAsia="en-US"/>
        </w:rPr>
        <w:t xml:space="preserve">LDO er partnar for Portugal i deira likestillingsprogram under EØS-samarbeidet. </w:t>
      </w:r>
      <w:r>
        <w:rPr>
          <w:rFonts w:eastAsiaTheme="minorHAnsi"/>
          <w:lang w:val="nn-NO" w:eastAsia="en-US"/>
        </w:rPr>
        <w:t>Vår s</w:t>
      </w:r>
      <w:r w:rsidRPr="0030446D">
        <w:rPr>
          <w:rFonts w:eastAsiaTheme="minorHAnsi"/>
          <w:lang w:val="en-US" w:eastAsia="en-US"/>
        </w:rPr>
        <w:t xml:space="preserve">amarbeidspartnar i Portugal er Commission for Citizenship and Gender Equality. </w:t>
      </w:r>
      <w:r w:rsidRPr="0030446D">
        <w:rPr>
          <w:rFonts w:eastAsiaTheme="minorHAnsi"/>
          <w:lang w:val="nn-NO" w:eastAsia="en-US"/>
        </w:rPr>
        <w:t xml:space="preserve">LDO har </w:t>
      </w:r>
      <w:r w:rsidRPr="008064DB">
        <w:rPr>
          <w:rFonts w:eastAsiaTheme="minorHAnsi"/>
          <w:lang w:val="nn-NO" w:eastAsia="en-US"/>
        </w:rPr>
        <w:t>vore ein fagleg støttespelar i utviklinga av programmet, og speler ei rolle som fag</w:t>
      </w:r>
      <w:r w:rsidR="00791429">
        <w:rPr>
          <w:rFonts w:eastAsiaTheme="minorHAnsi"/>
          <w:lang w:val="nn-NO" w:eastAsia="en-US"/>
        </w:rPr>
        <w:t xml:space="preserve">leg rådgjevar i den vidare implementeringa </w:t>
      </w:r>
      <w:r w:rsidRPr="008064DB">
        <w:rPr>
          <w:rFonts w:eastAsiaTheme="minorHAnsi"/>
          <w:lang w:val="nn-NO" w:eastAsia="en-US"/>
        </w:rPr>
        <w:t>av programmet og dei ulike prosjekta. Ombodet si rolle er óg å leggje til rette for bilateralt samarbeid mellom landa. Vi formidlar kontakt mellom relevante aktørar og moglege samarbeidspartnarar.</w:t>
      </w:r>
      <w:r w:rsidRPr="00B22E13">
        <w:rPr>
          <w:rFonts w:eastAsiaTheme="minorHAnsi"/>
          <w:lang w:val="nn-NO" w:eastAsia="en-US"/>
        </w:rPr>
        <w:t xml:space="preserve"> </w:t>
      </w:r>
    </w:p>
    <w:p w:rsidR="00650938" w:rsidRPr="00620219" w:rsidRDefault="00650938" w:rsidP="00650938"/>
    <w:p w:rsidR="00650938" w:rsidRPr="00113ED2" w:rsidRDefault="00650938" w:rsidP="00650938">
      <w:pPr>
        <w:pStyle w:val="Overskrift2"/>
      </w:pPr>
      <w:bookmarkStart w:id="11" w:name="_Toc34915957"/>
      <w:r>
        <w:t>Kampanjar</w:t>
      </w:r>
      <w:bookmarkEnd w:id="11"/>
      <w:r>
        <w:t xml:space="preserve"> </w:t>
      </w:r>
    </w:p>
    <w:p w:rsidR="00650938" w:rsidRDefault="00650938" w:rsidP="00650938">
      <w:pPr>
        <w:rPr>
          <w:lang w:val="nn-NO"/>
        </w:rPr>
      </w:pPr>
    </w:p>
    <w:p w:rsidR="00650938" w:rsidRPr="004F74BE" w:rsidRDefault="00650938" w:rsidP="00650938">
      <w:pPr>
        <w:rPr>
          <w:b/>
          <w:lang w:val="nn-NO"/>
        </w:rPr>
      </w:pPr>
      <w:r w:rsidRPr="004F74BE">
        <w:rPr>
          <w:b/>
          <w:lang w:val="nn-NO"/>
        </w:rPr>
        <w:t xml:space="preserve">Kampanjen </w:t>
      </w:r>
      <w:r w:rsidR="00F74544">
        <w:rPr>
          <w:b/>
          <w:lang w:val="nn-NO"/>
        </w:rPr>
        <w:t>«</w:t>
      </w:r>
      <w:r w:rsidRPr="004F74BE">
        <w:rPr>
          <w:b/>
          <w:lang w:val="nn-NO"/>
        </w:rPr>
        <w:t>Taushet tar liv</w:t>
      </w:r>
      <w:r w:rsidR="00F74544">
        <w:rPr>
          <w:b/>
          <w:lang w:val="nn-NO"/>
        </w:rPr>
        <w:t>»</w:t>
      </w:r>
    </w:p>
    <w:p w:rsidR="00650938" w:rsidRDefault="00650938" w:rsidP="00650938">
      <w:pPr>
        <w:rPr>
          <w:lang w:val="nn-NO"/>
        </w:rPr>
      </w:pPr>
      <w:r w:rsidRPr="008064DB">
        <w:rPr>
          <w:lang w:val="nn-NO"/>
        </w:rPr>
        <w:t xml:space="preserve">For sjette året på rad laga vi </w:t>
      </w:r>
      <w:r w:rsidR="002A32BE">
        <w:rPr>
          <w:lang w:val="nn-NO"/>
        </w:rPr>
        <w:t>kampanjen «Taushet tar liv» sama</w:t>
      </w:r>
      <w:r w:rsidRPr="008064DB">
        <w:rPr>
          <w:lang w:val="nn-NO"/>
        </w:rPr>
        <w:t>n med Krisesentersekretariatet.</w:t>
      </w:r>
      <w:r w:rsidRPr="0013333D">
        <w:rPr>
          <w:lang w:val="nn-NO"/>
        </w:rPr>
        <w:t xml:space="preserve"> </w:t>
      </w:r>
      <w:r w:rsidRPr="0059000D">
        <w:rPr>
          <w:lang w:val="nn-NO"/>
        </w:rPr>
        <w:t>Føremålet med kampanje</w:t>
      </w:r>
      <w:r w:rsidR="002A32BE">
        <w:rPr>
          <w:lang w:val="nn-NO"/>
        </w:rPr>
        <w:t>n er å førebyggje vald og partna</w:t>
      </w:r>
      <w:r w:rsidRPr="0059000D">
        <w:rPr>
          <w:lang w:val="nn-NO"/>
        </w:rPr>
        <w:t xml:space="preserve">rdrap. I år samarbeidde vi </w:t>
      </w:r>
      <w:r>
        <w:rPr>
          <w:lang w:val="nn-NO"/>
        </w:rPr>
        <w:t>mellom anna med</w:t>
      </w:r>
      <w:r w:rsidR="002A32BE">
        <w:rPr>
          <w:lang w:val="nn-NO"/>
        </w:rPr>
        <w:t xml:space="preserve"> Nasjonalt kunnskapssenter om va</w:t>
      </w:r>
      <w:r>
        <w:rPr>
          <w:lang w:val="nn-NO"/>
        </w:rPr>
        <w:t>ld og traumatisk stress (NKVTS) og ordføraren i</w:t>
      </w:r>
      <w:r w:rsidR="002A32BE">
        <w:rPr>
          <w:lang w:val="nn-NO"/>
        </w:rPr>
        <w:t xml:space="preserve"> Oslo, Marianne Borgen, samt ei</w:t>
      </w:r>
      <w:r>
        <w:rPr>
          <w:lang w:val="nn-NO"/>
        </w:rPr>
        <w:t xml:space="preserve"> ekspertgruppe med </w:t>
      </w:r>
      <w:r w:rsidR="002A32BE">
        <w:rPr>
          <w:lang w:val="nn-NO"/>
        </w:rPr>
        <w:t>politi, advokat, forskarar og ein</w:t>
      </w:r>
      <w:r>
        <w:rPr>
          <w:lang w:val="nn-NO"/>
        </w:rPr>
        <w:t xml:space="preserve"> </w:t>
      </w:r>
      <w:r w:rsidRPr="0059000D">
        <w:rPr>
          <w:lang w:val="nn-NO"/>
        </w:rPr>
        <w:t xml:space="preserve"> representan</w:t>
      </w:r>
      <w:r>
        <w:rPr>
          <w:lang w:val="nn-NO"/>
        </w:rPr>
        <w:t>t</w:t>
      </w:r>
      <w:r w:rsidRPr="0059000D">
        <w:rPr>
          <w:lang w:val="nn-NO"/>
        </w:rPr>
        <w:t xml:space="preserve"> frå </w:t>
      </w:r>
      <w:r>
        <w:rPr>
          <w:lang w:val="nn-NO"/>
        </w:rPr>
        <w:t xml:space="preserve">Sametinget. </w:t>
      </w:r>
    </w:p>
    <w:p w:rsidR="00650938" w:rsidRPr="00DB498A" w:rsidRDefault="00650938" w:rsidP="00650938">
      <w:pPr>
        <w:rPr>
          <w:lang w:val="nn-NO"/>
        </w:rPr>
      </w:pPr>
      <w:r>
        <w:rPr>
          <w:lang w:val="nn-NO"/>
        </w:rPr>
        <w:t xml:space="preserve">Kampanjen i 2019 hadde </w:t>
      </w:r>
      <w:r w:rsidRPr="0059000D">
        <w:rPr>
          <w:lang w:val="nn-NO"/>
        </w:rPr>
        <w:t>særleg fokus på</w:t>
      </w:r>
      <w:r>
        <w:rPr>
          <w:lang w:val="nn-NO"/>
        </w:rPr>
        <w:t xml:space="preserve"> å synleggjere at</w:t>
      </w:r>
      <w:r w:rsidRPr="0059000D">
        <w:rPr>
          <w:lang w:val="nn-NO"/>
        </w:rPr>
        <w:t xml:space="preserve"> hjelpeapparatet </w:t>
      </w:r>
      <w:r>
        <w:rPr>
          <w:lang w:val="nn-NO"/>
        </w:rPr>
        <w:t xml:space="preserve">i kommunane </w:t>
      </w:r>
      <w:r w:rsidRPr="0059000D">
        <w:rPr>
          <w:lang w:val="nn-NO"/>
        </w:rPr>
        <w:t xml:space="preserve">har utfordringar </w:t>
      </w:r>
      <w:r>
        <w:rPr>
          <w:lang w:val="nn-NO"/>
        </w:rPr>
        <w:t>med</w:t>
      </w:r>
      <w:r w:rsidR="0098162B">
        <w:rPr>
          <w:lang w:val="nn-NO"/>
        </w:rPr>
        <w:t xml:space="preserve"> å levere eit godt tilbod til va</w:t>
      </w:r>
      <w:r>
        <w:rPr>
          <w:lang w:val="nn-NO"/>
        </w:rPr>
        <w:t xml:space="preserve">ldsutsette. </w:t>
      </w:r>
      <w:r w:rsidRPr="001D0BDE">
        <w:rPr>
          <w:lang w:val="nn-NO"/>
        </w:rPr>
        <w:t>No</w:t>
      </w:r>
      <w:r w:rsidR="00C31B91" w:rsidRPr="001D0BDE">
        <w:rPr>
          <w:lang w:val="nn-NO"/>
        </w:rPr>
        <w:t>rsk Gallup gjennomførte ei spørj</w:t>
      </w:r>
      <w:r w:rsidRPr="001D0BDE">
        <w:rPr>
          <w:lang w:val="nn-NO"/>
        </w:rPr>
        <w:t>eundersøk</w:t>
      </w:r>
      <w:r w:rsidR="0098162B" w:rsidRPr="001D0BDE">
        <w:rPr>
          <w:lang w:val="nn-NO"/>
        </w:rPr>
        <w:t xml:space="preserve">jing blant rådmenn og kommunaldirektørar i samband </w:t>
      </w:r>
      <w:r w:rsidRPr="001D0BDE">
        <w:rPr>
          <w:lang w:val="nn-NO"/>
        </w:rPr>
        <w:t xml:space="preserve">med </w:t>
      </w:r>
      <w:r w:rsidR="0098162B" w:rsidRPr="001D0BDE">
        <w:rPr>
          <w:lang w:val="nn-NO"/>
        </w:rPr>
        <w:t>kampanjen «</w:t>
      </w:r>
      <w:r w:rsidRPr="001D0BDE">
        <w:rPr>
          <w:lang w:val="nn-NO"/>
        </w:rPr>
        <w:t>Taushet tar liv</w:t>
      </w:r>
      <w:r w:rsidR="0098162B" w:rsidRPr="001D0BDE">
        <w:rPr>
          <w:lang w:val="nn-NO"/>
        </w:rPr>
        <w:t xml:space="preserve">». </w:t>
      </w:r>
      <w:r w:rsidRPr="00DB498A">
        <w:rPr>
          <w:lang w:val="nn-NO"/>
        </w:rPr>
        <w:t>Resultat</w:t>
      </w:r>
      <w:r>
        <w:rPr>
          <w:lang w:val="nn-NO"/>
        </w:rPr>
        <w:t xml:space="preserve">a </w:t>
      </w:r>
      <w:r w:rsidRPr="00DB498A">
        <w:rPr>
          <w:lang w:val="nn-NO"/>
        </w:rPr>
        <w:t xml:space="preserve">viste </w:t>
      </w:r>
      <w:r w:rsidR="0098162B">
        <w:rPr>
          <w:lang w:val="nn-NO"/>
        </w:rPr>
        <w:t>at det var lite bruk av handlingsplana</w:t>
      </w:r>
      <w:r w:rsidRPr="00DB498A">
        <w:rPr>
          <w:lang w:val="nn-NO"/>
        </w:rPr>
        <w:t xml:space="preserve">r og </w:t>
      </w:r>
      <w:r w:rsidR="00C31B91">
        <w:rPr>
          <w:lang w:val="nn-NO"/>
        </w:rPr>
        <w:t xml:space="preserve">at det var </w:t>
      </w:r>
      <w:r>
        <w:rPr>
          <w:lang w:val="nn-NO"/>
        </w:rPr>
        <w:t xml:space="preserve">manglande </w:t>
      </w:r>
      <w:r w:rsidRPr="00DB498A">
        <w:rPr>
          <w:lang w:val="nn-NO"/>
        </w:rPr>
        <w:t>politisk forankring</w:t>
      </w:r>
      <w:r w:rsidR="0098162B">
        <w:rPr>
          <w:lang w:val="nn-NO"/>
        </w:rPr>
        <w:t xml:space="preserve"> av arbeidet med va</w:t>
      </w:r>
      <w:r>
        <w:rPr>
          <w:lang w:val="nn-NO"/>
        </w:rPr>
        <w:t>ld i nære relasjonar</w:t>
      </w:r>
      <w:r w:rsidRPr="00DB498A">
        <w:rPr>
          <w:lang w:val="nn-NO"/>
        </w:rPr>
        <w:t>.</w:t>
      </w:r>
    </w:p>
    <w:p w:rsidR="00650938" w:rsidRDefault="00650938" w:rsidP="00650938">
      <w:pPr>
        <w:rPr>
          <w:lang w:val="nn-NO"/>
        </w:rPr>
      </w:pPr>
      <w:r w:rsidRPr="00AB664C">
        <w:rPr>
          <w:lang w:val="nn-NO"/>
        </w:rPr>
        <w:t xml:space="preserve">Som ein del av ein kampanje vi </w:t>
      </w:r>
      <w:r>
        <w:rPr>
          <w:lang w:val="nn-NO"/>
        </w:rPr>
        <w:t xml:space="preserve">hadde </w:t>
      </w:r>
      <w:r w:rsidRPr="00AB664C">
        <w:rPr>
          <w:lang w:val="nn-NO"/>
        </w:rPr>
        <w:t>på Facebook og Instagram</w:t>
      </w:r>
      <w:r w:rsidR="00B04E0B">
        <w:rPr>
          <w:lang w:val="nn-NO"/>
        </w:rPr>
        <w:t>, va</w:t>
      </w:r>
      <w:r w:rsidRPr="00AB664C">
        <w:rPr>
          <w:lang w:val="nn-NO"/>
        </w:rPr>
        <w:t xml:space="preserve">rt det laga ein film med bodskap om å varsle ved mistanke om vald. </w:t>
      </w:r>
      <w:r>
        <w:rPr>
          <w:lang w:val="nn-NO"/>
        </w:rPr>
        <w:t xml:space="preserve">Den vart spelt av heile 900 000 gongar i </w:t>
      </w:r>
      <w:r w:rsidRPr="00140658">
        <w:rPr>
          <w:lang w:val="nn-NO"/>
        </w:rPr>
        <w:t>perioden</w:t>
      </w:r>
      <w:r w:rsidRPr="0059000D">
        <w:rPr>
          <w:lang w:val="nn-NO"/>
        </w:rPr>
        <w:t xml:space="preserve"> frå 25. november til 10. desember</w:t>
      </w:r>
      <w:r>
        <w:rPr>
          <w:lang w:val="nn-NO"/>
        </w:rPr>
        <w:t xml:space="preserve">. </w:t>
      </w:r>
    </w:p>
    <w:p w:rsidR="00650938" w:rsidRDefault="00B04E0B" w:rsidP="00650938">
      <w:pPr>
        <w:rPr>
          <w:lang w:val="nn-NO"/>
        </w:rPr>
      </w:pPr>
      <w:r>
        <w:rPr>
          <w:lang w:val="nn-NO"/>
        </w:rPr>
        <w:t>Kampanjen va</w:t>
      </w:r>
      <w:r w:rsidR="00650938">
        <w:rPr>
          <w:lang w:val="nn-NO"/>
        </w:rPr>
        <w:t>rt opna på Oslo Rådhus 26. november med ordføraren og Oslo krisesenter som vertskap saman med Krisesentersekretariatet og LDO.</w:t>
      </w:r>
      <w:r w:rsidR="00650938" w:rsidRPr="0059000D">
        <w:rPr>
          <w:lang w:val="nn-NO"/>
        </w:rPr>
        <w:t xml:space="preserve"> </w:t>
      </w:r>
      <w:r w:rsidR="00F43917">
        <w:rPr>
          <w:lang w:val="nn-NO"/>
        </w:rPr>
        <w:t>Både lokale og sentrale politika</w:t>
      </w:r>
      <w:r w:rsidR="00650938" w:rsidRPr="0059000D">
        <w:rPr>
          <w:lang w:val="nn-NO"/>
        </w:rPr>
        <w:t>r</w:t>
      </w:r>
      <w:r>
        <w:rPr>
          <w:lang w:val="nn-NO"/>
        </w:rPr>
        <w:t>ar</w:t>
      </w:r>
      <w:r w:rsidR="00F43917">
        <w:rPr>
          <w:lang w:val="nn-NO"/>
        </w:rPr>
        <w:t xml:space="preserve"> deltok</w:t>
      </w:r>
      <w:r w:rsidR="00650938" w:rsidRPr="0059000D">
        <w:rPr>
          <w:lang w:val="nn-NO"/>
        </w:rPr>
        <w:t xml:space="preserve">, </w:t>
      </w:r>
      <w:r w:rsidR="00372912">
        <w:rPr>
          <w:lang w:val="nn-NO"/>
        </w:rPr>
        <w:t>medrekna</w:t>
      </w:r>
      <w:r w:rsidR="00650938" w:rsidRPr="0059000D">
        <w:rPr>
          <w:lang w:val="nn-NO"/>
        </w:rPr>
        <w:t xml:space="preserve"> stortingspresidenten og sametingspresidenten</w:t>
      </w:r>
      <w:r w:rsidR="00650938">
        <w:rPr>
          <w:lang w:val="nn-NO"/>
        </w:rPr>
        <w:t>. Det sa</w:t>
      </w:r>
      <w:r w:rsidR="00372912">
        <w:rPr>
          <w:lang w:val="nn-NO"/>
        </w:rPr>
        <w:t>me gjorde politimesteren i Oslo, leiaren i partnardrap</w:t>
      </w:r>
      <w:r w:rsidR="00650938">
        <w:rPr>
          <w:lang w:val="nn-NO"/>
        </w:rPr>
        <w:t>utvalet, ein forskar frå NKVTS og direktøren i NIM</w:t>
      </w:r>
      <w:r w:rsidR="00650938" w:rsidRPr="0059000D">
        <w:rPr>
          <w:lang w:val="nn-NO"/>
        </w:rPr>
        <w:t xml:space="preserve">. </w:t>
      </w:r>
    </w:p>
    <w:p w:rsidR="00650938" w:rsidRDefault="00843A4F" w:rsidP="00650938">
      <w:pPr>
        <w:rPr>
          <w:b/>
          <w:bCs/>
          <w:lang w:val="nn-NO"/>
        </w:rPr>
      </w:pPr>
      <w:r>
        <w:rPr>
          <w:lang w:val="nn-NO"/>
        </w:rPr>
        <w:t xml:space="preserve">Vidare utvikla ombodet </w:t>
      </w:r>
      <w:r w:rsidR="00650938">
        <w:rPr>
          <w:lang w:val="nn-NO"/>
        </w:rPr>
        <w:t>hauste</w:t>
      </w:r>
      <w:r w:rsidR="000873CE">
        <w:rPr>
          <w:lang w:val="nn-NO"/>
        </w:rPr>
        <w:t>n 2019 eit kurs som skal bli halde</w:t>
      </w:r>
      <w:r w:rsidR="00650938">
        <w:rPr>
          <w:lang w:val="nn-NO"/>
        </w:rPr>
        <w:t xml:space="preserve"> i n</w:t>
      </w:r>
      <w:r w:rsidR="000873CE">
        <w:rPr>
          <w:lang w:val="nn-NO"/>
        </w:rPr>
        <w:t xml:space="preserve">okre utvalde kommunar i februar og </w:t>
      </w:r>
      <w:r w:rsidR="00650938">
        <w:rPr>
          <w:lang w:val="nn-NO"/>
        </w:rPr>
        <w:t>mars 2</w:t>
      </w:r>
      <w:r w:rsidR="00C938B9">
        <w:rPr>
          <w:lang w:val="nn-NO"/>
        </w:rPr>
        <w:t>020. Kursa skal samle politikara</w:t>
      </w:r>
      <w:r w:rsidR="00650938">
        <w:rPr>
          <w:lang w:val="nn-NO"/>
        </w:rPr>
        <w:t xml:space="preserve">ne og leiinga i kommunen for å få </w:t>
      </w:r>
      <w:r w:rsidR="00C938B9">
        <w:rPr>
          <w:lang w:val="nn-NO"/>
        </w:rPr>
        <w:t>auka</w:t>
      </w:r>
      <w:r w:rsidR="00650938">
        <w:rPr>
          <w:lang w:val="nn-NO"/>
        </w:rPr>
        <w:t xml:space="preserve"> kunnskap som kan betre arbeidet mot vald mot kvinner og vald i nære relasjonar i kommunane</w:t>
      </w:r>
      <w:r w:rsidR="00650938" w:rsidRPr="00753D0D">
        <w:rPr>
          <w:lang w:val="nn-NO"/>
        </w:rPr>
        <w:t xml:space="preserve"> </w:t>
      </w:r>
      <w:r w:rsidR="00650938">
        <w:rPr>
          <w:lang w:val="nn-NO"/>
        </w:rPr>
        <w:t xml:space="preserve">gjennom </w:t>
      </w:r>
      <w:r w:rsidR="00650938" w:rsidRPr="0059000D">
        <w:rPr>
          <w:lang w:val="nn-NO"/>
        </w:rPr>
        <w:t>forpliktande tiltak</w:t>
      </w:r>
      <w:r w:rsidR="00650938">
        <w:rPr>
          <w:lang w:val="nn-NO"/>
        </w:rPr>
        <w:t xml:space="preserve">. </w:t>
      </w:r>
    </w:p>
    <w:p w:rsidR="00650938" w:rsidRDefault="00650938" w:rsidP="00650938">
      <w:pPr>
        <w:spacing w:after="80"/>
        <w:rPr>
          <w:b/>
          <w:bCs/>
          <w:lang w:val="nn-NO"/>
        </w:rPr>
      </w:pPr>
    </w:p>
    <w:p w:rsidR="00650938" w:rsidRPr="007140A4" w:rsidRDefault="00650938" w:rsidP="00650938">
      <w:pPr>
        <w:spacing w:after="80"/>
        <w:rPr>
          <w:b/>
          <w:bCs/>
          <w:lang w:val="nn-NO"/>
        </w:rPr>
      </w:pPr>
      <w:r w:rsidRPr="007140A4">
        <w:rPr>
          <w:b/>
          <w:bCs/>
          <w:lang w:val="nn-NO"/>
        </w:rPr>
        <w:t>Kampanjen GRENSER  2019</w:t>
      </w:r>
    </w:p>
    <w:p w:rsidR="00650938" w:rsidRDefault="00650938" w:rsidP="00650938">
      <w:pPr>
        <w:spacing w:after="80"/>
        <w:rPr>
          <w:lang w:val="nn-NO"/>
        </w:rPr>
      </w:pPr>
      <w:r w:rsidRPr="007140A4">
        <w:rPr>
          <w:lang w:val="nn-NO"/>
        </w:rPr>
        <w:t>Gjennom kampanjen GRENSER spreia LDO animasjonar, faktakunnskap og intervju med ungdo</w:t>
      </w:r>
      <w:r w:rsidR="00751DE0">
        <w:rPr>
          <w:lang w:val="nn-NO"/>
        </w:rPr>
        <w:t>m frå russebussar og vandrar</w:t>
      </w:r>
      <w:r w:rsidRPr="007140A4">
        <w:rPr>
          <w:lang w:val="nn-NO"/>
        </w:rPr>
        <w:t>grupper om temat</w:t>
      </w:r>
      <w:r w:rsidR="00751DE0">
        <w:rPr>
          <w:lang w:val="nn-NO"/>
        </w:rPr>
        <w:t>ikk</w:t>
      </w:r>
      <w:r w:rsidR="00477933">
        <w:rPr>
          <w:lang w:val="nn-NO"/>
        </w:rPr>
        <w:t>e</w:t>
      </w:r>
      <w:r w:rsidRPr="007140A4">
        <w:rPr>
          <w:lang w:val="nn-NO"/>
        </w:rPr>
        <w:t>n grenser og sex. Kampanjen tok utgangspunkt i tema russ</w:t>
      </w:r>
      <w:r>
        <w:rPr>
          <w:lang w:val="nn-NO"/>
        </w:rPr>
        <w:t>en</w:t>
      </w:r>
      <w:r w:rsidRPr="007140A4">
        <w:rPr>
          <w:lang w:val="nn-NO"/>
        </w:rPr>
        <w:t xml:space="preserve"> sjølv</w:t>
      </w:r>
      <w:r>
        <w:rPr>
          <w:lang w:val="nn-NO"/>
        </w:rPr>
        <w:t>e</w:t>
      </w:r>
      <w:r w:rsidR="00751DE0">
        <w:rPr>
          <w:lang w:val="nn-NO"/>
        </w:rPr>
        <w:t xml:space="preserve"> fortald</w:t>
      </w:r>
      <w:r w:rsidRPr="007140A4">
        <w:rPr>
          <w:lang w:val="nn-NO"/>
        </w:rPr>
        <w:t xml:space="preserve">e at dei var spesielt opptekne av: </w:t>
      </w:r>
      <w:r w:rsidR="006E54FD">
        <w:rPr>
          <w:lang w:val="nn-NO"/>
        </w:rPr>
        <w:t>deling av bilete</w:t>
      </w:r>
      <w:r w:rsidR="00751DE0">
        <w:rPr>
          <w:lang w:val="nn-NO"/>
        </w:rPr>
        <w:t xml:space="preserve">, å bli masa på om </w:t>
      </w:r>
      <w:r w:rsidR="006E54FD">
        <w:rPr>
          <w:lang w:val="nn-NO"/>
        </w:rPr>
        <w:t xml:space="preserve">ha </w:t>
      </w:r>
      <w:r w:rsidR="00751DE0">
        <w:rPr>
          <w:lang w:val="nn-NO"/>
        </w:rPr>
        <w:t>sex og å bli tekne på uønsk</w:t>
      </w:r>
      <w:r w:rsidR="00585097">
        <w:rPr>
          <w:lang w:val="nn-NO"/>
        </w:rPr>
        <w:t>j</w:t>
      </w:r>
      <w:r w:rsidR="00751DE0">
        <w:rPr>
          <w:lang w:val="nn-NO"/>
        </w:rPr>
        <w:t xml:space="preserve">a. </w:t>
      </w:r>
      <w:r w:rsidRPr="007140A4">
        <w:rPr>
          <w:lang w:val="nn-NO"/>
        </w:rPr>
        <w:t>Kampanjen nytta russen sine eigne sosiale mediekanalar</w:t>
      </w:r>
      <w:r w:rsidR="00AD38EC">
        <w:rPr>
          <w:lang w:val="nn-NO"/>
        </w:rPr>
        <w:t xml:space="preserve"> ved å samarbeide med russebussa</w:t>
      </w:r>
      <w:r w:rsidRPr="007140A4">
        <w:rPr>
          <w:lang w:val="nn-NO"/>
        </w:rPr>
        <w:t xml:space="preserve">r og russegrupper. Kampanjen oppmoda unge til å ta vare på kvarandre, til å snakke saman om seksuell trakassering og om grenser for seksuelle handlingar. Hensikta med kampanjen var å gjere russen meir reflekterte og betre rusta i situasjonar der eigne eller andre sine grenser vert utfordra eller overskride. I tillegg vart </w:t>
      </w:r>
      <w:r w:rsidRPr="007140A4">
        <w:rPr>
          <w:lang w:val="nn-NO"/>
        </w:rPr>
        <w:lastRenderedPageBreak/>
        <w:t>det laga juridisk informasjon som opplyser om kva som e</w:t>
      </w:r>
      <w:r w:rsidR="00505EFA">
        <w:rPr>
          <w:lang w:val="nn-NO"/>
        </w:rPr>
        <w:t>r straffbare handlingar. For ei</w:t>
      </w:r>
      <w:r w:rsidRPr="007140A4">
        <w:rPr>
          <w:lang w:val="nn-NO"/>
        </w:rPr>
        <w:t xml:space="preserve"> oversikt over stoffet, sjå www.rt.no/grenser.</w:t>
      </w:r>
    </w:p>
    <w:p w:rsidR="00650938" w:rsidRPr="005A5116" w:rsidRDefault="00650938" w:rsidP="00650938">
      <w:pPr>
        <w:rPr>
          <w:b/>
          <w:lang w:val="nn-NO"/>
        </w:rPr>
      </w:pPr>
    </w:p>
    <w:p w:rsidR="00650938" w:rsidRPr="00B22E13" w:rsidRDefault="00650938" w:rsidP="00650938">
      <w:pPr>
        <w:rPr>
          <w:b/>
        </w:rPr>
      </w:pPr>
      <w:r w:rsidRPr="00B22E13">
        <w:rPr>
          <w:b/>
        </w:rPr>
        <w:t xml:space="preserve">Kampanjen “Sammen setter vi strek for seksuell trakassering”. </w:t>
      </w:r>
    </w:p>
    <w:p w:rsidR="00650938" w:rsidRPr="001D0BDE" w:rsidRDefault="00650938" w:rsidP="00650938">
      <w:pPr>
        <w:pStyle w:val="NormalWeb"/>
        <w:spacing w:before="0" w:beforeAutospacing="0" w:after="0" w:afterAutospacing="0"/>
        <w:rPr>
          <w:rFonts w:eastAsia="+mn-ea"/>
          <w:color w:val="000000"/>
          <w:kern w:val="24"/>
          <w:lang w:val="nn-NO"/>
        </w:rPr>
      </w:pPr>
      <w:r w:rsidRPr="00F43F20">
        <w:t xml:space="preserve">Arbeidstilsynet og ombodet har i </w:t>
      </w:r>
      <w:r w:rsidRPr="002065DB">
        <w:t>2019</w:t>
      </w:r>
      <w:r w:rsidRPr="00F43F20">
        <w:t xml:space="preserve"> </w:t>
      </w:r>
      <w:r w:rsidR="00357E35">
        <w:t>vida</w:t>
      </w:r>
      <w:r w:rsidRPr="002065DB">
        <w:t>reført</w:t>
      </w:r>
      <w:r w:rsidRPr="00F43F20">
        <w:t xml:space="preserve"> </w:t>
      </w:r>
      <w:r w:rsidRPr="002065DB">
        <w:t>samarbei</w:t>
      </w:r>
      <w:r w:rsidR="00357E35">
        <w:t>det med Arbeidstilsynet og parta</w:t>
      </w:r>
      <w:r w:rsidRPr="002065DB">
        <w:t>ne i utelivsbransjen</w:t>
      </w:r>
      <w:r w:rsidR="00357E35">
        <w:t xml:space="preserve"> om å førebyggje</w:t>
      </w:r>
      <w:r w:rsidRPr="00F43F20">
        <w:t xml:space="preserve"> og hindre seksuell trakassering i </w:t>
      </w:r>
      <w:r w:rsidR="000D4628">
        <w:t xml:space="preserve">bransjar som driv med overnatting og servering. </w:t>
      </w:r>
      <w:r w:rsidRPr="001D0BDE">
        <w:rPr>
          <w:lang w:val="nn-NO"/>
        </w:rPr>
        <w:t xml:space="preserve">Parallelt med dette har ombodet vore fagleg bidragsytar i trepartssamarbeidet om arbeidslivskriminalitet i utelivsbransjen. </w:t>
      </w:r>
    </w:p>
    <w:p w:rsidR="00650938" w:rsidRPr="00F43F20" w:rsidRDefault="00650938" w:rsidP="00650938">
      <w:pPr>
        <w:rPr>
          <w:lang w:val="nn-NO"/>
        </w:rPr>
      </w:pPr>
      <w:r w:rsidRPr="001D0BDE">
        <w:rPr>
          <w:lang w:val="nn-NO"/>
        </w:rPr>
        <w:t>Som ein del av kampanjen har Arbeidstils</w:t>
      </w:r>
      <w:r w:rsidR="000367C3" w:rsidRPr="001D0BDE">
        <w:rPr>
          <w:lang w:val="nn-NO"/>
        </w:rPr>
        <w:t>ynet og ombodet i 2019 halde sju</w:t>
      </w:r>
      <w:r w:rsidRPr="001D0BDE">
        <w:rPr>
          <w:lang w:val="nn-NO"/>
        </w:rPr>
        <w:t xml:space="preserve"> landsdekkjande kurs i Trondheim, Oslo, Stavanger, Bergen, Bodø, Hamar og Alta. </w:t>
      </w:r>
      <w:r w:rsidRPr="00F43F20">
        <w:rPr>
          <w:lang w:val="nn-NO"/>
        </w:rPr>
        <w:t>Målgruppa for kursa har vore arbeidsgjevarar, ve</w:t>
      </w:r>
      <w:r w:rsidR="000367C3">
        <w:rPr>
          <w:lang w:val="nn-NO"/>
        </w:rPr>
        <w:t>rneombod og tillitsvalde fyrst og fremst</w:t>
      </w:r>
      <w:r w:rsidRPr="00F43F20">
        <w:rPr>
          <w:lang w:val="nn-NO"/>
        </w:rPr>
        <w:t xml:space="preserve"> innanfor overnattings- og serveringsbransjen. Majoriteten av deltakarane har likevel kome frå andre bransjar,</w:t>
      </w:r>
      <w:r w:rsidRPr="002065DB">
        <w:rPr>
          <w:lang w:val="nn-NO"/>
        </w:rPr>
        <w:t xml:space="preserve"> som til dømes helse,</w:t>
      </w:r>
      <w:r w:rsidRPr="00F43F20">
        <w:rPr>
          <w:lang w:val="nn-NO"/>
        </w:rPr>
        <w:t xml:space="preserve"> omsorg</w:t>
      </w:r>
      <w:r w:rsidRPr="002065DB">
        <w:rPr>
          <w:lang w:val="nn-NO"/>
        </w:rPr>
        <w:t xml:space="preserve"> og Forsvaret</w:t>
      </w:r>
      <w:r w:rsidRPr="00F43F20">
        <w:rPr>
          <w:lang w:val="nn-NO"/>
        </w:rPr>
        <w:t>. I samanheng med kampanjen har det vore</w:t>
      </w:r>
      <w:r w:rsidRPr="002065DB">
        <w:rPr>
          <w:lang w:val="nn-NO"/>
        </w:rPr>
        <w:t xml:space="preserve"> fleire</w:t>
      </w:r>
      <w:r w:rsidRPr="00F43F20">
        <w:rPr>
          <w:lang w:val="nn-NO"/>
        </w:rPr>
        <w:t xml:space="preserve"> reportasjar som ombodet har medverka til på tv, radio og </w:t>
      </w:r>
      <w:r>
        <w:rPr>
          <w:lang w:val="nn-NO"/>
        </w:rPr>
        <w:t>Inter</w:t>
      </w:r>
      <w:r w:rsidRPr="00F43F20">
        <w:rPr>
          <w:lang w:val="nn-NO"/>
        </w:rPr>
        <w:t xml:space="preserve">nett. </w:t>
      </w:r>
      <w:r w:rsidRPr="002065DB">
        <w:rPr>
          <w:lang w:val="nn-NO"/>
        </w:rPr>
        <w:t xml:space="preserve">I tillegg har vi </w:t>
      </w:r>
      <w:r>
        <w:rPr>
          <w:lang w:val="nn-NO"/>
        </w:rPr>
        <w:t>halde eit</w:t>
      </w:r>
      <w:r w:rsidRPr="002065DB">
        <w:rPr>
          <w:lang w:val="nn-NO"/>
        </w:rPr>
        <w:t xml:space="preserve"> </w:t>
      </w:r>
      <w:r>
        <w:rPr>
          <w:lang w:val="nn-NO"/>
        </w:rPr>
        <w:t>«train the trainers» dagskurs for HR-</w:t>
      </w:r>
      <w:r w:rsidRPr="002065DB">
        <w:rPr>
          <w:lang w:val="nn-NO"/>
        </w:rPr>
        <w:t>leiinga i</w:t>
      </w:r>
      <w:r w:rsidR="003E0DA6">
        <w:rPr>
          <w:lang w:val="nn-NO"/>
        </w:rPr>
        <w:t xml:space="preserve"> hotellkjeda</w:t>
      </w:r>
      <w:r>
        <w:rPr>
          <w:lang w:val="nn-NO"/>
        </w:rPr>
        <w:t xml:space="preserve"> Scandic</w:t>
      </w:r>
      <w:r w:rsidRPr="002065DB">
        <w:rPr>
          <w:lang w:val="nn-NO"/>
        </w:rPr>
        <w:t>.</w:t>
      </w:r>
    </w:p>
    <w:p w:rsidR="00650938" w:rsidRPr="00AE02D3" w:rsidRDefault="00650938" w:rsidP="00650938">
      <w:pPr>
        <w:pStyle w:val="NormalWeb"/>
        <w:spacing w:before="0" w:beforeAutospacing="0" w:after="0" w:afterAutospacing="0"/>
        <w:rPr>
          <w:rFonts w:eastAsia="+mn-ea"/>
          <w:color w:val="000000"/>
          <w:kern w:val="24"/>
          <w:lang w:val="nn-NO"/>
        </w:rPr>
      </w:pPr>
      <w:r>
        <w:rPr>
          <w:lang w:val="nn-NO"/>
        </w:rPr>
        <w:t>Erfaringa</w:t>
      </w:r>
      <w:r w:rsidRPr="00AB4655">
        <w:rPr>
          <w:lang w:val="nn-NO"/>
        </w:rPr>
        <w:t xml:space="preserve"> fr</w:t>
      </w:r>
      <w:r>
        <w:rPr>
          <w:lang w:val="nn-NO"/>
        </w:rPr>
        <w:t>å</w:t>
      </w:r>
      <w:r w:rsidRPr="00AB4655">
        <w:rPr>
          <w:lang w:val="nn-NO"/>
        </w:rPr>
        <w:t xml:space="preserve"> settestrek</w:t>
      </w:r>
      <w:r>
        <w:rPr>
          <w:lang w:val="nn-NO"/>
        </w:rPr>
        <w:t>-</w:t>
      </w:r>
      <w:r w:rsidRPr="00AB4655">
        <w:rPr>
          <w:lang w:val="nn-NO"/>
        </w:rPr>
        <w:t>kurs</w:t>
      </w:r>
      <w:r>
        <w:rPr>
          <w:lang w:val="nn-NO"/>
        </w:rPr>
        <w:t>a</w:t>
      </w:r>
      <w:r w:rsidRPr="00AB4655">
        <w:rPr>
          <w:lang w:val="nn-NO"/>
        </w:rPr>
        <w:t xml:space="preserve"> har vist at seksuell trakassering er eit vanskeleg tema å snakke om. </w:t>
      </w:r>
      <w:r w:rsidRPr="002065DB">
        <w:rPr>
          <w:lang w:val="nn-NO"/>
        </w:rPr>
        <w:t>I 2019 har vi</w:t>
      </w:r>
      <w:r>
        <w:rPr>
          <w:lang w:val="nn-NO"/>
        </w:rPr>
        <w:t xml:space="preserve"> difor utvikla</w:t>
      </w:r>
      <w:r w:rsidRPr="002065DB">
        <w:rPr>
          <w:lang w:val="nn-NO"/>
        </w:rPr>
        <w:t xml:space="preserve"> eit samtaleverktøy </w:t>
      </w:r>
      <w:r>
        <w:rPr>
          <w:rFonts w:eastAsia="+mn-ea"/>
          <w:color w:val="000000"/>
          <w:kern w:val="24"/>
          <w:lang w:val="nn-NO"/>
        </w:rPr>
        <w:t>k</w:t>
      </w:r>
      <w:r w:rsidRPr="00AB4655">
        <w:rPr>
          <w:rFonts w:eastAsia="+mn-ea"/>
          <w:color w:val="000000"/>
          <w:kern w:val="24"/>
          <w:lang w:val="nn-NO"/>
        </w:rPr>
        <w:t xml:space="preserve">or målet er å </w:t>
      </w:r>
      <w:r>
        <w:rPr>
          <w:rFonts w:eastAsia="+mn-ea"/>
          <w:color w:val="000000"/>
          <w:kern w:val="24"/>
          <w:lang w:val="nn-NO"/>
        </w:rPr>
        <w:t>gjere det enklare</w:t>
      </w:r>
      <w:r w:rsidRPr="00AB4655">
        <w:rPr>
          <w:rFonts w:eastAsia="+mn-ea"/>
          <w:color w:val="000000"/>
          <w:kern w:val="24"/>
          <w:lang w:val="nn-NO"/>
        </w:rPr>
        <w:t xml:space="preserve"> å snakke om seksuell trakassering på arbeidsplassen. </w:t>
      </w:r>
      <w:r w:rsidR="009B6AA9" w:rsidRPr="00AE02D3">
        <w:rPr>
          <w:rFonts w:eastAsia="+mn-ea"/>
          <w:color w:val="000000"/>
          <w:kern w:val="24"/>
          <w:lang w:val="nn-NO"/>
        </w:rPr>
        <w:t>Samtaleverktøyet finnast</w:t>
      </w:r>
      <w:r w:rsidRPr="00AE02D3">
        <w:rPr>
          <w:rFonts w:eastAsia="+mn-ea"/>
          <w:color w:val="000000"/>
          <w:kern w:val="24"/>
          <w:lang w:val="nn-NO"/>
        </w:rPr>
        <w:t xml:space="preserve"> på </w:t>
      </w:r>
      <w:r w:rsidRPr="00AE02D3">
        <w:rPr>
          <w:lang w:val="nn-NO"/>
        </w:rPr>
        <w:t xml:space="preserve"> </w:t>
      </w:r>
      <w:hyperlink r:id="rId9" w:history="1">
        <w:r w:rsidRPr="00AE02D3">
          <w:rPr>
            <w:rStyle w:val="Hyperkobling"/>
            <w:rFonts w:eastAsia="+mn-ea"/>
            <w:kern w:val="24"/>
            <w:lang w:val="nn-NO"/>
          </w:rPr>
          <w:t>https://www.ldo.no/kampanje-for-seksuell-trakassering1/quiz---verktoy-for-a-snakke-om-seksuell-trakassering-pa-jobben/</w:t>
        </w:r>
      </w:hyperlink>
      <w:r w:rsidRPr="00AE02D3">
        <w:rPr>
          <w:rFonts w:eastAsia="+mn-ea"/>
          <w:color w:val="000000"/>
          <w:kern w:val="24"/>
          <w:lang w:val="nn-NO"/>
        </w:rPr>
        <w:t xml:space="preserve">. Verktøyet er bygd opp som ein quiz med 12 spørsmål og fire handlingsalternativ. I tillegg følgjer det eit diskusjonspunkt til kvart dilemma som skal bidra til samtale. </w:t>
      </w:r>
      <w:r w:rsidR="004432C0" w:rsidRPr="00AE02D3">
        <w:rPr>
          <w:rFonts w:eastAsia="+mn-ea"/>
          <w:color w:val="000000"/>
          <w:kern w:val="24"/>
          <w:lang w:val="nn-NO"/>
        </w:rPr>
        <w:t xml:space="preserve">Ombodet har testa </w:t>
      </w:r>
      <w:r w:rsidRPr="00AE02D3">
        <w:rPr>
          <w:rFonts w:eastAsia="+mn-ea"/>
          <w:color w:val="000000"/>
          <w:kern w:val="24"/>
          <w:lang w:val="nn-NO"/>
        </w:rPr>
        <w:t xml:space="preserve">samtaleverktøyet for </w:t>
      </w:r>
      <w:r w:rsidR="004432C0" w:rsidRPr="00AE02D3">
        <w:rPr>
          <w:rFonts w:eastAsia="+mn-ea"/>
          <w:color w:val="000000"/>
          <w:kern w:val="24"/>
          <w:lang w:val="nn-NO"/>
        </w:rPr>
        <w:t>fleire ulike arbeidsplassa</w:t>
      </w:r>
      <w:r w:rsidR="00C11455" w:rsidRPr="00AE02D3">
        <w:rPr>
          <w:rFonts w:eastAsia="+mn-ea"/>
          <w:color w:val="000000"/>
          <w:kern w:val="24"/>
          <w:lang w:val="nn-NO"/>
        </w:rPr>
        <w:t>r. Tilbakemeldinga</w:t>
      </w:r>
      <w:r w:rsidRPr="00AE02D3">
        <w:rPr>
          <w:rFonts w:eastAsia="+mn-ea"/>
          <w:color w:val="000000"/>
          <w:kern w:val="24"/>
          <w:lang w:val="nn-NO"/>
        </w:rPr>
        <w:t xml:space="preserve">ne vi får er at det er enkelt </w:t>
      </w:r>
      <w:r w:rsidR="00C11455" w:rsidRPr="00AE02D3">
        <w:rPr>
          <w:rFonts w:eastAsia="+mn-ea"/>
          <w:color w:val="000000"/>
          <w:kern w:val="24"/>
          <w:lang w:val="nn-NO"/>
        </w:rPr>
        <w:t>å bruke og skapar gode diskusjona</w:t>
      </w:r>
      <w:r w:rsidRPr="00AE02D3">
        <w:rPr>
          <w:rFonts w:eastAsia="+mn-ea"/>
          <w:color w:val="000000"/>
          <w:kern w:val="24"/>
          <w:lang w:val="nn-NO"/>
        </w:rPr>
        <w:t>r om grenser.</w:t>
      </w:r>
    </w:p>
    <w:p w:rsidR="00650938" w:rsidRDefault="00650938" w:rsidP="00650938">
      <w:r w:rsidRPr="00F43F20">
        <w:rPr>
          <w:lang w:val="nn-NO"/>
        </w:rPr>
        <w:t xml:space="preserve">Settestrek-kampanjen har gjort ombodet til ein synleg kunnskapsaktør på feltet innanfor fleire bransjar i arbeidslivet, men også innanfor utdanningsinstitusjonar. </w:t>
      </w:r>
      <w:r w:rsidRPr="008064DB">
        <w:rPr>
          <w:lang w:val="nn-NO"/>
        </w:rPr>
        <w:t>Førespurnaden etter LDO som føredragshaldar om temaet seksuell trakassering har vore stor også i 2019.</w:t>
      </w:r>
      <w:r w:rsidR="001B2A4F">
        <w:rPr>
          <w:lang w:val="nn-NO"/>
        </w:rPr>
        <w:t xml:space="preserve"> Ombodet har også vore </w:t>
      </w:r>
      <w:r w:rsidRPr="00F43F20">
        <w:rPr>
          <w:lang w:val="nn-NO"/>
        </w:rPr>
        <w:t xml:space="preserve">på mange viktige arenaer for å presentere settestrek-kampanjen, som til dømes på Arbeidsmiljøkongressen. </w:t>
      </w:r>
    </w:p>
    <w:p w:rsidR="00650938" w:rsidRPr="00275676" w:rsidRDefault="00650938" w:rsidP="00650938"/>
    <w:p w:rsidR="00650938" w:rsidRPr="001A7ED2" w:rsidRDefault="00650938" w:rsidP="00650938">
      <w:pPr>
        <w:pStyle w:val="Overskrift2"/>
      </w:pPr>
      <w:bookmarkStart w:id="12" w:name="_Toc34915958"/>
      <w:r w:rsidRPr="001A7ED2">
        <w:t>Tilsyn med FN-konvensjonar</w:t>
      </w:r>
      <w:bookmarkEnd w:id="12"/>
    </w:p>
    <w:p w:rsidR="00650938" w:rsidRPr="001A7ED2" w:rsidRDefault="00650938" w:rsidP="00650938">
      <w:pPr>
        <w:rPr>
          <w:lang w:val="nn-NO"/>
        </w:rPr>
      </w:pPr>
      <w:r w:rsidRPr="001A7ED2">
        <w:rPr>
          <w:lang w:val="nn-NO"/>
        </w:rPr>
        <w:t xml:space="preserve">LDO skal bidra til å endre strukturane som er med på å oppretthalde diskriminering og mangel på likestilling. I dette arbeidet må ombodet identifisere barrierane for likestilling, og gjere grundige analysar for å kunne føreslå treffsikre tiltak som er eigna til å fremje like moglegheiter.  </w:t>
      </w:r>
    </w:p>
    <w:p w:rsidR="00650938" w:rsidRPr="001A7ED2" w:rsidRDefault="00650938" w:rsidP="00650938">
      <w:pPr>
        <w:rPr>
          <w:lang w:val="nn-NO"/>
        </w:rPr>
      </w:pPr>
      <w:r w:rsidRPr="001A7ED2">
        <w:rPr>
          <w:lang w:val="nn-NO"/>
        </w:rPr>
        <w:t>Det lovfesta tilsynsansvaret LDO har for FN</w:t>
      </w:r>
      <w:r w:rsidR="00C50423">
        <w:rPr>
          <w:lang w:val="nn-NO"/>
        </w:rPr>
        <w:t>-konvensjon mot diskriminering av kvinner (CEDAW), ra</w:t>
      </w:r>
      <w:r w:rsidRPr="001A7ED2">
        <w:rPr>
          <w:lang w:val="nn-NO"/>
        </w:rPr>
        <w:t xml:space="preserve">sediskrimineringskonvensjon </w:t>
      </w:r>
      <w:r w:rsidR="00C50423">
        <w:rPr>
          <w:lang w:val="nn-NO"/>
        </w:rPr>
        <w:t>(</w:t>
      </w:r>
      <w:r w:rsidRPr="001A7ED2">
        <w:rPr>
          <w:lang w:val="nn-NO"/>
        </w:rPr>
        <w:t>CERD</w:t>
      </w:r>
      <w:r w:rsidR="00C50423">
        <w:rPr>
          <w:lang w:val="nn-NO"/>
        </w:rPr>
        <w:t xml:space="preserve">) og konvensjonen for </w:t>
      </w:r>
      <w:r w:rsidRPr="001A7ED2">
        <w:rPr>
          <w:lang w:val="nn-NO"/>
        </w:rPr>
        <w:t xml:space="preserve">menneske med nedsett funksjonsevne </w:t>
      </w:r>
      <w:r w:rsidR="007B5C19">
        <w:rPr>
          <w:lang w:val="nn-NO"/>
        </w:rPr>
        <w:t>(</w:t>
      </w:r>
      <w:r w:rsidRPr="001A7ED2">
        <w:rPr>
          <w:lang w:val="nn-NO"/>
        </w:rPr>
        <w:t>CRPD</w:t>
      </w:r>
      <w:r w:rsidR="007B5C19">
        <w:rPr>
          <w:lang w:val="nn-NO"/>
        </w:rPr>
        <w:t>)</w:t>
      </w:r>
      <w:r w:rsidRPr="001A7ED2">
        <w:rPr>
          <w:lang w:val="nn-NO"/>
        </w:rPr>
        <w:t xml:space="preserve"> er eit vesentleg utgangspunkt som styrk</w:t>
      </w:r>
      <w:r w:rsidR="009978F7">
        <w:rPr>
          <w:lang w:val="nn-NO"/>
        </w:rPr>
        <w:t>j</w:t>
      </w:r>
      <w:r w:rsidRPr="001A7ED2">
        <w:rPr>
          <w:lang w:val="nn-NO"/>
        </w:rPr>
        <w:t>ar legitimiteten for vårt pådrivararbeid.</w:t>
      </w:r>
    </w:p>
    <w:p w:rsidR="00650938" w:rsidRPr="008064DB" w:rsidRDefault="00650938" w:rsidP="00650938">
      <w:pPr>
        <w:rPr>
          <w:rStyle w:val="Hyperkobling"/>
          <w:lang w:val="nn-NO"/>
        </w:rPr>
      </w:pPr>
      <w:r w:rsidRPr="001A7ED2">
        <w:rPr>
          <w:lang w:val="nn-NO"/>
        </w:rPr>
        <w:t xml:space="preserve">Ombodet sine rapportar ligg på </w:t>
      </w:r>
      <w:hyperlink r:id="rId10" w:history="1">
        <w:r w:rsidRPr="0013333D">
          <w:rPr>
            <w:rStyle w:val="Hyperkobling"/>
            <w:lang w:val="nn-NO"/>
          </w:rPr>
          <w:t>https://www.ldo.no/</w:t>
        </w:r>
        <w:r w:rsidR="00255232">
          <w:rPr>
            <w:rStyle w:val="Hyperkobling"/>
            <w:lang w:val="nn-NO"/>
          </w:rPr>
          <w:t>ombodet</w:t>
        </w:r>
        <w:r w:rsidRPr="0013333D">
          <w:rPr>
            <w:rStyle w:val="Hyperkobling"/>
            <w:lang w:val="nn-NO"/>
          </w:rPr>
          <w:t>-og-samfunnet/</w:t>
        </w:r>
      </w:hyperlink>
    </w:p>
    <w:p w:rsidR="00650938" w:rsidRPr="00802B16" w:rsidRDefault="00650938" w:rsidP="00650938">
      <w:pPr>
        <w:rPr>
          <w:lang w:val="nn-NO"/>
        </w:rPr>
      </w:pPr>
    </w:p>
    <w:p w:rsidR="00650938" w:rsidRPr="001A7ED2" w:rsidRDefault="00650938" w:rsidP="00650938">
      <w:pPr>
        <w:pStyle w:val="Overskrift3"/>
      </w:pPr>
      <w:r w:rsidRPr="001A7ED2">
        <w:t>Nasjonal og internasjonal rapportering</w:t>
      </w:r>
    </w:p>
    <w:p w:rsidR="00650938" w:rsidRDefault="00650938" w:rsidP="00650938">
      <w:pPr>
        <w:rPr>
          <w:lang w:val="nn-NO"/>
        </w:rPr>
      </w:pPr>
      <w:r w:rsidRPr="001A7ED2">
        <w:rPr>
          <w:lang w:val="nn-NO"/>
        </w:rPr>
        <w:t xml:space="preserve">Ombodet tek jamleg opp tilhøve med norske styresmakter som vi meiner er problematiske sett opp mot pliktene etter dei tre FN-konvensjonane vi har tilsynsansvar for. LDO sender eigne rapportar til CEDAW-komiteen, CERD-komiteen og CRPD-komiteen om tema vi meiner </w:t>
      </w:r>
      <w:r w:rsidRPr="001A7ED2">
        <w:rPr>
          <w:lang w:val="nn-NO"/>
        </w:rPr>
        <w:lastRenderedPageBreak/>
        <w:t xml:space="preserve">treng særskild merksemd, i samsvar med den rapporteringssyklusen som gjeld for den norske statsrapporteringa. Vi gjev </w:t>
      </w:r>
      <w:r>
        <w:rPr>
          <w:lang w:val="nn-NO"/>
        </w:rPr>
        <w:t>ó</w:t>
      </w:r>
      <w:r w:rsidRPr="001A7ED2">
        <w:rPr>
          <w:lang w:val="nn-NO"/>
        </w:rPr>
        <w:t>g innspel til departe</w:t>
      </w:r>
      <w:r w:rsidR="000F03D3">
        <w:rPr>
          <w:lang w:val="nn-NO"/>
        </w:rPr>
        <w:t>me</w:t>
      </w:r>
      <w:r w:rsidR="00E57AF3">
        <w:rPr>
          <w:lang w:val="nn-NO"/>
        </w:rPr>
        <w:t>nt</w:t>
      </w:r>
      <w:r w:rsidRPr="001A7ED2">
        <w:rPr>
          <w:lang w:val="nn-NO"/>
        </w:rPr>
        <w:t>et for å bidra til at staten sin rapport skal gje eit mest mogleg dekkjande bilete av dei utfordringane Noreg har når det gjeld å sikre rettar etter desse tre FN-konvensjonane.</w:t>
      </w:r>
    </w:p>
    <w:p w:rsidR="0034278F" w:rsidRDefault="0034278F" w:rsidP="00650938">
      <w:pPr>
        <w:rPr>
          <w:lang w:val="nn-NO"/>
        </w:rPr>
      </w:pPr>
    </w:p>
    <w:p w:rsidR="00650938" w:rsidRPr="001A7ED2" w:rsidRDefault="00650938" w:rsidP="00650938">
      <w:pPr>
        <w:rPr>
          <w:b/>
          <w:color w:val="1F497D"/>
          <w:lang w:val="nn-NO"/>
        </w:rPr>
      </w:pPr>
      <w:r w:rsidRPr="001A7ED2">
        <w:rPr>
          <w:b/>
          <w:lang w:val="nn-NO"/>
        </w:rPr>
        <w:t>Noreg eksaminert om CRPD</w:t>
      </w:r>
    </w:p>
    <w:p w:rsidR="00650938" w:rsidRPr="001A7ED2" w:rsidRDefault="00650938" w:rsidP="00650938">
      <w:pPr>
        <w:rPr>
          <w:lang w:val="nn-NO"/>
        </w:rPr>
      </w:pPr>
      <w:r w:rsidRPr="001A7ED2">
        <w:rPr>
          <w:lang w:val="nn-NO"/>
        </w:rPr>
        <w:t>I februar arranger</w:t>
      </w:r>
      <w:r>
        <w:rPr>
          <w:lang w:val="nn-NO"/>
        </w:rPr>
        <w:t>te NIM og ombodet eit o</w:t>
      </w:r>
      <w:r w:rsidR="003B5D8E">
        <w:rPr>
          <w:lang w:val="nn-NO"/>
        </w:rPr>
        <w:t>pe</w:t>
      </w:r>
      <w:r w:rsidRPr="001A7ED2">
        <w:rPr>
          <w:lang w:val="nn-NO"/>
        </w:rPr>
        <w:t xml:space="preserve"> møte på </w:t>
      </w:r>
      <w:r>
        <w:rPr>
          <w:lang w:val="nn-NO"/>
        </w:rPr>
        <w:t>L</w:t>
      </w:r>
      <w:r w:rsidRPr="001A7ED2">
        <w:rPr>
          <w:lang w:val="nn-NO"/>
        </w:rPr>
        <w:t xml:space="preserve">itteraturhuset </w:t>
      </w:r>
      <w:r>
        <w:rPr>
          <w:lang w:val="nn-NO"/>
        </w:rPr>
        <w:t>i Oslo</w:t>
      </w:r>
      <w:r w:rsidR="00DC404F">
        <w:rPr>
          <w:lang w:val="nn-NO"/>
        </w:rPr>
        <w:t xml:space="preserve"> om den første</w:t>
      </w:r>
      <w:r w:rsidRPr="001A7ED2">
        <w:rPr>
          <w:lang w:val="nn-NO"/>
        </w:rPr>
        <w:t xml:space="preserve"> høyring</w:t>
      </w:r>
      <w:r>
        <w:rPr>
          <w:lang w:val="nn-NO"/>
        </w:rPr>
        <w:t>a</w:t>
      </w:r>
      <w:r w:rsidRPr="001A7ED2">
        <w:rPr>
          <w:lang w:val="nn-NO"/>
        </w:rPr>
        <w:t xml:space="preserve"> av Noreg </w:t>
      </w:r>
      <w:r w:rsidR="001277E6">
        <w:rPr>
          <w:lang w:val="nn-NO"/>
        </w:rPr>
        <w:t>når det gjeld etterleving av FN</w:t>
      </w:r>
      <w:r w:rsidRPr="001A7ED2">
        <w:rPr>
          <w:lang w:val="nn-NO"/>
        </w:rPr>
        <w:t xml:space="preserve"> konvensjon</w:t>
      </w:r>
      <w:r w:rsidR="001277E6">
        <w:rPr>
          <w:lang w:val="nn-NO"/>
        </w:rPr>
        <w:t>en om rettar til persona</w:t>
      </w:r>
      <w:r w:rsidRPr="001A7ED2">
        <w:rPr>
          <w:lang w:val="nn-NO"/>
        </w:rPr>
        <w:t xml:space="preserve">r </w:t>
      </w:r>
      <w:r>
        <w:rPr>
          <w:lang w:val="nn-NO"/>
        </w:rPr>
        <w:t>med nedsett funksjonsevne</w:t>
      </w:r>
      <w:r w:rsidR="005923C6">
        <w:rPr>
          <w:lang w:val="nn-NO"/>
        </w:rPr>
        <w:t>. Vi inviterte eit breitt</w:t>
      </w:r>
      <w:r w:rsidRPr="001A7ED2">
        <w:rPr>
          <w:lang w:val="nn-NO"/>
        </w:rPr>
        <w:t xml:space="preserve"> publikum for å rette søkjelyset mot sentrale utfordringar Noreg har. Nær 100 menneske deltok </w:t>
      </w:r>
      <w:r>
        <w:rPr>
          <w:lang w:val="nn-NO"/>
        </w:rPr>
        <w:t>frå</w:t>
      </w:r>
      <w:r w:rsidRPr="001A7ED2">
        <w:rPr>
          <w:lang w:val="nn-NO"/>
        </w:rPr>
        <w:t xml:space="preserve"> sivilsamfunn, politik</w:t>
      </w:r>
      <w:r>
        <w:rPr>
          <w:lang w:val="nn-NO"/>
        </w:rPr>
        <w:t>k</w:t>
      </w:r>
      <w:r w:rsidRPr="001A7ED2">
        <w:rPr>
          <w:lang w:val="nn-NO"/>
        </w:rPr>
        <w:t xml:space="preserve"> og forvaltning. </w:t>
      </w:r>
    </w:p>
    <w:p w:rsidR="00650938" w:rsidRPr="001A7ED2" w:rsidRDefault="00650938" w:rsidP="00650938">
      <w:pPr>
        <w:rPr>
          <w:lang w:val="nn-NO"/>
        </w:rPr>
      </w:pPr>
      <w:r w:rsidRPr="001A7ED2">
        <w:rPr>
          <w:lang w:val="nn-NO"/>
        </w:rPr>
        <w:t xml:space="preserve">Deretter deltok </w:t>
      </w:r>
      <w:r w:rsidR="00255232">
        <w:rPr>
          <w:lang w:val="nn-NO"/>
        </w:rPr>
        <w:t>ombodet</w:t>
      </w:r>
      <w:r w:rsidRPr="001A7ED2">
        <w:rPr>
          <w:lang w:val="nn-NO"/>
        </w:rPr>
        <w:t xml:space="preserve"> </w:t>
      </w:r>
      <w:r>
        <w:rPr>
          <w:lang w:val="nn-NO"/>
        </w:rPr>
        <w:t>i Genè</w:t>
      </w:r>
      <w:r w:rsidRPr="001A7ED2">
        <w:rPr>
          <w:lang w:val="nn-NO"/>
        </w:rPr>
        <w:t xml:space="preserve">ve i mars </w:t>
      </w:r>
      <w:r w:rsidR="006D18C5">
        <w:rPr>
          <w:lang w:val="nn-NO"/>
        </w:rPr>
        <w:t>2019 under CRPD-komiteen si først</w:t>
      </w:r>
      <w:r w:rsidRPr="001A7ED2">
        <w:rPr>
          <w:lang w:val="nn-NO"/>
        </w:rPr>
        <w:t>e høyring av Noreg.</w:t>
      </w:r>
      <w:r>
        <w:rPr>
          <w:lang w:val="nn-NO"/>
        </w:rPr>
        <w:t xml:space="preserve"> </w:t>
      </w:r>
      <w:r w:rsidR="00255232">
        <w:rPr>
          <w:lang w:val="nn-NO"/>
        </w:rPr>
        <w:t>Ombodet</w:t>
      </w:r>
      <w:r w:rsidRPr="001A7ED2">
        <w:rPr>
          <w:lang w:val="nn-NO"/>
        </w:rPr>
        <w:t xml:space="preserve"> hadde saman med NIM eit formøte med CRPD-komiteen sin landrapportør for Noreg. Både nasjonalt og i vår dialog med landrapportøren og komiteen har vi retta  særleg fokus </w:t>
      </w:r>
      <w:r>
        <w:rPr>
          <w:lang w:val="nn-NO"/>
        </w:rPr>
        <w:t>på</w:t>
      </w:r>
      <w:r w:rsidRPr="001A7ED2">
        <w:rPr>
          <w:lang w:val="nn-NO"/>
        </w:rPr>
        <w:t xml:space="preserve"> fire hovedutfordringar:</w:t>
      </w:r>
    </w:p>
    <w:p w:rsidR="00650938" w:rsidRPr="001A7ED2" w:rsidRDefault="00843AE8" w:rsidP="00650938">
      <w:pPr>
        <w:pStyle w:val="Listeavsnitt"/>
        <w:numPr>
          <w:ilvl w:val="0"/>
          <w:numId w:val="2"/>
        </w:numPr>
        <w:ind w:left="1440"/>
        <w:contextualSpacing w:val="0"/>
        <w:rPr>
          <w:lang w:val="nn-NO"/>
        </w:rPr>
      </w:pPr>
      <w:r>
        <w:rPr>
          <w:lang w:val="nn-NO"/>
        </w:rPr>
        <w:t>CRPD sin</w:t>
      </w:r>
      <w:r w:rsidR="00650938" w:rsidRPr="001A7ED2">
        <w:rPr>
          <w:lang w:val="nn-NO"/>
        </w:rPr>
        <w:t xml:space="preserve"> svake status i norsk rett og praktiske implikasjonar av at konvensjonen ikkje er inkorporert.</w:t>
      </w:r>
    </w:p>
    <w:p w:rsidR="00650938" w:rsidRPr="001A7ED2" w:rsidRDefault="00843AE8" w:rsidP="00650938">
      <w:pPr>
        <w:pStyle w:val="Listeavsnitt"/>
        <w:numPr>
          <w:ilvl w:val="0"/>
          <w:numId w:val="2"/>
        </w:numPr>
        <w:ind w:left="1440"/>
        <w:contextualSpacing w:val="0"/>
        <w:rPr>
          <w:lang w:val="nn-NO"/>
        </w:rPr>
      </w:pPr>
      <w:r>
        <w:rPr>
          <w:lang w:val="nn-NO"/>
        </w:rPr>
        <w:t>For dårleg rettstryggleik</w:t>
      </w:r>
      <w:r w:rsidR="00650938" w:rsidRPr="001A7ED2">
        <w:rPr>
          <w:lang w:val="nn-NO"/>
        </w:rPr>
        <w:t xml:space="preserve"> ved utøving av tvang og makt ovanfor personar med psykososiale og kognitive funksjonsnedsettelsar og mangelfull tilgang på frivillige tenester.</w:t>
      </w:r>
    </w:p>
    <w:p w:rsidR="00650938" w:rsidRPr="001A7ED2" w:rsidRDefault="00650938" w:rsidP="00650938">
      <w:pPr>
        <w:pStyle w:val="Listeavsnitt"/>
        <w:numPr>
          <w:ilvl w:val="0"/>
          <w:numId w:val="2"/>
        </w:numPr>
        <w:ind w:left="1440"/>
        <w:contextualSpacing w:val="0"/>
        <w:rPr>
          <w:lang w:val="nn-NO"/>
        </w:rPr>
      </w:pPr>
      <w:r w:rsidRPr="001A7ED2">
        <w:rPr>
          <w:lang w:val="nn-NO"/>
        </w:rPr>
        <w:t>Vesentlege utfordringar i verjemålssystemet</w:t>
      </w:r>
      <w:r>
        <w:rPr>
          <w:lang w:val="nn-NO"/>
        </w:rPr>
        <w:t>.</w:t>
      </w:r>
    </w:p>
    <w:p w:rsidR="00650938" w:rsidRPr="001A7ED2" w:rsidRDefault="00650938" w:rsidP="00650938">
      <w:pPr>
        <w:pStyle w:val="Listeavsnitt"/>
        <w:numPr>
          <w:ilvl w:val="0"/>
          <w:numId w:val="2"/>
        </w:numPr>
        <w:ind w:left="1440"/>
        <w:contextualSpacing w:val="0"/>
        <w:rPr>
          <w:lang w:val="nn-NO"/>
        </w:rPr>
      </w:pPr>
      <w:r w:rsidRPr="001A7ED2">
        <w:rPr>
          <w:lang w:val="nn-NO"/>
        </w:rPr>
        <w:t>Vesentlege manglar ved s</w:t>
      </w:r>
      <w:r w:rsidR="00887B86">
        <w:rPr>
          <w:lang w:val="nn-NO"/>
        </w:rPr>
        <w:t>ikring av retten til tilgjengele</w:t>
      </w:r>
      <w:r w:rsidRPr="001A7ED2">
        <w:rPr>
          <w:lang w:val="nn-NO"/>
        </w:rPr>
        <w:t>ghei</w:t>
      </w:r>
      <w:r w:rsidR="00887B86">
        <w:rPr>
          <w:lang w:val="nn-NO"/>
        </w:rPr>
        <w:t>t og universell utforming av sku</w:t>
      </w:r>
      <w:r w:rsidRPr="001A7ED2">
        <w:rPr>
          <w:lang w:val="nn-NO"/>
        </w:rPr>
        <w:t xml:space="preserve">lebygg. </w:t>
      </w:r>
    </w:p>
    <w:p w:rsidR="00650938" w:rsidRPr="001A7ED2" w:rsidRDefault="00650938" w:rsidP="00650938">
      <w:pPr>
        <w:pStyle w:val="Listeavsnitt"/>
        <w:ind w:left="1440"/>
        <w:rPr>
          <w:lang w:val="nn-NO"/>
        </w:rPr>
      </w:pPr>
    </w:p>
    <w:p w:rsidR="00650938" w:rsidRPr="008D50A1" w:rsidRDefault="00650938" w:rsidP="00650938">
      <w:pPr>
        <w:rPr>
          <w:highlight w:val="yellow"/>
          <w:lang w:val="nn-NO"/>
        </w:rPr>
      </w:pPr>
      <w:r w:rsidRPr="001A7ED2">
        <w:rPr>
          <w:lang w:val="nn-NO"/>
        </w:rPr>
        <w:t>Vi deltok o</w:t>
      </w:r>
      <w:r w:rsidR="00BC0DBB">
        <w:rPr>
          <w:lang w:val="nn-NO"/>
        </w:rPr>
        <w:t>gså med innleg</w:t>
      </w:r>
      <w:r w:rsidR="009B06DF">
        <w:rPr>
          <w:lang w:val="nn-NO"/>
        </w:rPr>
        <w:t>g i eit side-arrangement iverkse</w:t>
      </w:r>
      <w:r w:rsidR="00BC0DBB">
        <w:rPr>
          <w:lang w:val="nn-NO"/>
        </w:rPr>
        <w:t xml:space="preserve">tt </w:t>
      </w:r>
      <w:r w:rsidRPr="001A7ED2">
        <w:rPr>
          <w:lang w:val="nn-NO"/>
        </w:rPr>
        <w:t xml:space="preserve">av sivilsamfunn </w:t>
      </w:r>
      <w:r>
        <w:rPr>
          <w:lang w:val="nn-NO"/>
        </w:rPr>
        <w:t>o</w:t>
      </w:r>
      <w:r w:rsidR="006D7632">
        <w:rPr>
          <w:lang w:val="nn-NO"/>
        </w:rPr>
        <w:t>m verj</w:t>
      </w:r>
      <w:r w:rsidRPr="001A7ED2">
        <w:rPr>
          <w:lang w:val="nn-NO"/>
        </w:rPr>
        <w:t xml:space="preserve">emål. </w:t>
      </w:r>
    </w:p>
    <w:p w:rsidR="00650938" w:rsidRDefault="003922CD" w:rsidP="00650938">
      <w:pPr>
        <w:rPr>
          <w:lang w:val="nn-NO"/>
        </w:rPr>
      </w:pPr>
      <w:r>
        <w:rPr>
          <w:lang w:val="nn-NO"/>
        </w:rPr>
        <w:t>I oktober</w:t>
      </w:r>
      <w:r w:rsidR="00650938" w:rsidRPr="00A8133B">
        <w:rPr>
          <w:lang w:val="nn-NO"/>
        </w:rPr>
        <w:t xml:space="preserve"> bidro</w:t>
      </w:r>
      <w:r w:rsidR="00CE4D2E">
        <w:rPr>
          <w:lang w:val="nn-NO"/>
        </w:rPr>
        <w:t>g</w:t>
      </w:r>
      <w:r w:rsidR="00650938" w:rsidRPr="00A8133B">
        <w:rPr>
          <w:lang w:val="nn-NO"/>
        </w:rPr>
        <w:t xml:space="preserve"> </w:t>
      </w:r>
      <w:r w:rsidR="00255232">
        <w:rPr>
          <w:lang w:val="nn-NO"/>
        </w:rPr>
        <w:t>ombodet</w:t>
      </w:r>
      <w:r w:rsidR="00650938" w:rsidRPr="00A8133B">
        <w:rPr>
          <w:lang w:val="nn-NO"/>
        </w:rPr>
        <w:t xml:space="preserve"> </w:t>
      </w:r>
      <w:r w:rsidR="00650938">
        <w:rPr>
          <w:lang w:val="nn-NO"/>
        </w:rPr>
        <w:t xml:space="preserve">da </w:t>
      </w:r>
      <w:r w:rsidR="008F73AE">
        <w:rPr>
          <w:lang w:val="nn-NO"/>
        </w:rPr>
        <w:t xml:space="preserve">FN sin </w:t>
      </w:r>
      <w:r w:rsidR="00650938" w:rsidRPr="00A8133B">
        <w:rPr>
          <w:lang w:val="nn-NO"/>
        </w:rPr>
        <w:t>spesialrapportør for</w:t>
      </w:r>
      <w:r w:rsidR="00650938">
        <w:rPr>
          <w:lang w:val="nn-NO"/>
        </w:rPr>
        <w:t xml:space="preserve"> CRPD</w:t>
      </w:r>
      <w:r w:rsidR="00650938" w:rsidRPr="00A8133B">
        <w:rPr>
          <w:lang w:val="nn-NO"/>
        </w:rPr>
        <w:t>, Catalina Devandas</w:t>
      </w:r>
      <w:r w:rsidR="00650938">
        <w:rPr>
          <w:lang w:val="nn-NO"/>
        </w:rPr>
        <w:t>, besøkte Noreg</w:t>
      </w:r>
      <w:r w:rsidR="00650938" w:rsidRPr="00A8133B">
        <w:rPr>
          <w:lang w:val="nn-NO"/>
        </w:rPr>
        <w:t xml:space="preserve">. </w:t>
      </w:r>
      <w:r w:rsidR="00650938" w:rsidRPr="001A7ED2">
        <w:rPr>
          <w:lang w:val="nn-NO"/>
        </w:rPr>
        <w:t xml:space="preserve">Vi hadde eit eige møte med rapportøren </w:t>
      </w:r>
      <w:r w:rsidR="00650938">
        <w:rPr>
          <w:lang w:val="nn-NO"/>
        </w:rPr>
        <w:t xml:space="preserve">og </w:t>
      </w:r>
      <w:r w:rsidR="00650938" w:rsidRPr="001A7ED2">
        <w:rPr>
          <w:lang w:val="nn-NO"/>
        </w:rPr>
        <w:t xml:space="preserve">vi </w:t>
      </w:r>
      <w:r w:rsidR="008F73AE">
        <w:rPr>
          <w:lang w:val="nn-NO"/>
        </w:rPr>
        <w:t>la til rette for</w:t>
      </w:r>
      <w:r w:rsidR="00AB05B1">
        <w:rPr>
          <w:lang w:val="nn-NO"/>
        </w:rPr>
        <w:t xml:space="preserve"> pressekonferansen der</w:t>
      </w:r>
      <w:r w:rsidR="00650938" w:rsidRPr="001A7ED2">
        <w:rPr>
          <w:lang w:val="nn-NO"/>
        </w:rPr>
        <w:t xml:space="preserve"> ho la </w:t>
      </w:r>
      <w:r w:rsidR="008F73AE">
        <w:rPr>
          <w:lang w:val="nn-NO"/>
        </w:rPr>
        <w:t>fra</w:t>
      </w:r>
      <w:r w:rsidR="00650938" w:rsidRPr="001A7ED2">
        <w:rPr>
          <w:lang w:val="nn-NO"/>
        </w:rPr>
        <w:t xml:space="preserve">m sine midlertidige funn etter å ha besøkt </w:t>
      </w:r>
      <w:r w:rsidR="00650938" w:rsidRPr="0013333D">
        <w:rPr>
          <w:lang w:val="nn-NO"/>
        </w:rPr>
        <w:t xml:space="preserve">Tromsø, Karasjok og Oslo.  </w:t>
      </w:r>
    </w:p>
    <w:p w:rsidR="00650938" w:rsidRDefault="00650938" w:rsidP="00650938">
      <w:pPr>
        <w:rPr>
          <w:lang w:val="nn-NO"/>
        </w:rPr>
      </w:pPr>
    </w:p>
    <w:p w:rsidR="00650938" w:rsidRPr="001A7ED2" w:rsidRDefault="00650938" w:rsidP="00650938">
      <w:pPr>
        <w:rPr>
          <w:highlight w:val="yellow"/>
          <w:lang w:val="nn-NO"/>
        </w:rPr>
      </w:pPr>
      <w:r w:rsidRPr="00783E41">
        <w:rPr>
          <w:b/>
          <w:lang w:val="nn-NO"/>
        </w:rPr>
        <w:t>Rapport om bru</w:t>
      </w:r>
      <w:r w:rsidR="0034278F">
        <w:rPr>
          <w:b/>
          <w:lang w:val="nn-NO"/>
        </w:rPr>
        <w:t>k av tvang mot utviklingshemma</w:t>
      </w:r>
    </w:p>
    <w:p w:rsidR="00650938" w:rsidRPr="00900706" w:rsidRDefault="00650938" w:rsidP="00650938">
      <w:pPr>
        <w:rPr>
          <w:lang w:val="nn-NO"/>
        </w:rPr>
      </w:pPr>
      <w:r w:rsidRPr="00900706">
        <w:rPr>
          <w:lang w:val="nn-NO"/>
        </w:rPr>
        <w:t xml:space="preserve">Ombodet gjennomførte i 2019 ei undersøking som kartlegg omfanget og karakteren av tvang mot personer med </w:t>
      </w:r>
      <w:r>
        <w:rPr>
          <w:color w:val="000000"/>
          <w:lang w:val="nn-NO"/>
        </w:rPr>
        <w:t xml:space="preserve">og kognitive funksjonsnedsettingar </w:t>
      </w:r>
      <w:r w:rsidRPr="00900706">
        <w:rPr>
          <w:lang w:val="nn-NO"/>
        </w:rPr>
        <w:t>ette</w:t>
      </w:r>
      <w:r>
        <w:rPr>
          <w:lang w:val="nn-NO"/>
        </w:rPr>
        <w:t>r helse- og omsorgstenestelova</w:t>
      </w:r>
      <w:r w:rsidRPr="00900706">
        <w:rPr>
          <w:lang w:val="nn-NO"/>
        </w:rPr>
        <w:t xml:space="preserve"> kapittel 9. </w:t>
      </w:r>
      <w:r>
        <w:rPr>
          <w:lang w:val="nn-NO"/>
        </w:rPr>
        <w:t xml:space="preserve">Ombodet gjennomgikk 32 saker frå dåverande Fylkesmannen i Hedmark med føremål </w:t>
      </w:r>
      <w:r w:rsidRPr="00900706">
        <w:rPr>
          <w:lang w:val="nn-NO"/>
        </w:rPr>
        <w:t xml:space="preserve">å vurdere </w:t>
      </w:r>
      <w:r>
        <w:rPr>
          <w:lang w:val="nn-NO"/>
        </w:rPr>
        <w:t xml:space="preserve">korleis </w:t>
      </w:r>
      <w:r w:rsidRPr="00900706">
        <w:rPr>
          <w:lang w:val="nn-NO"/>
        </w:rPr>
        <w:t>rettsstryggleiken til personer med utviklingshemming</w:t>
      </w:r>
      <w:r>
        <w:rPr>
          <w:lang w:val="nn-NO"/>
        </w:rPr>
        <w:t xml:space="preserve"> vart ivaretatt i sakene. </w:t>
      </w:r>
    </w:p>
    <w:p w:rsidR="00650938" w:rsidRPr="00900706" w:rsidRDefault="00650938" w:rsidP="00650938">
      <w:pPr>
        <w:rPr>
          <w:lang w:val="nn-NO"/>
        </w:rPr>
      </w:pPr>
      <w:r>
        <w:rPr>
          <w:lang w:val="nn-NO"/>
        </w:rPr>
        <w:t>Gjennomgangen</w:t>
      </w:r>
      <w:r w:rsidRPr="00900706">
        <w:rPr>
          <w:lang w:val="nn-NO"/>
        </w:rPr>
        <w:t xml:space="preserve"> </w:t>
      </w:r>
      <w:r>
        <w:rPr>
          <w:lang w:val="nn-NO"/>
        </w:rPr>
        <w:t xml:space="preserve">viste at </w:t>
      </w:r>
      <w:r w:rsidRPr="00900706">
        <w:rPr>
          <w:lang w:val="nn-NO"/>
        </w:rPr>
        <w:t>det</w:t>
      </w:r>
      <w:r>
        <w:rPr>
          <w:lang w:val="nn-NO"/>
        </w:rPr>
        <w:t xml:space="preserve"> er</w:t>
      </w:r>
      <w:r w:rsidRPr="00900706">
        <w:rPr>
          <w:lang w:val="nn-NO"/>
        </w:rPr>
        <w:t xml:space="preserve"> grunn til å tru at</w:t>
      </w:r>
      <w:r w:rsidR="00442773">
        <w:rPr>
          <w:lang w:val="nn-NO"/>
        </w:rPr>
        <w:t xml:space="preserve"> fylkesmannen si</w:t>
      </w:r>
      <w:r>
        <w:rPr>
          <w:lang w:val="nn-NO"/>
        </w:rPr>
        <w:t xml:space="preserve"> prøving av vedtak </w:t>
      </w:r>
      <w:r w:rsidRPr="00900706">
        <w:rPr>
          <w:lang w:val="nn-NO"/>
        </w:rPr>
        <w:t xml:space="preserve">og </w:t>
      </w:r>
      <w:r>
        <w:rPr>
          <w:lang w:val="nn-NO"/>
        </w:rPr>
        <w:t>sta</w:t>
      </w:r>
      <w:r w:rsidR="009F4531">
        <w:rPr>
          <w:lang w:val="nn-NO"/>
        </w:rPr>
        <w:t>t</w:t>
      </w:r>
      <w:r w:rsidRPr="00900706">
        <w:rPr>
          <w:lang w:val="nn-NO"/>
        </w:rPr>
        <w:t>lege tilsyn</w:t>
      </w:r>
      <w:r>
        <w:rPr>
          <w:lang w:val="nn-NO"/>
        </w:rPr>
        <w:t xml:space="preserve"> ikkje</w:t>
      </w:r>
      <w:r w:rsidR="009F4531">
        <w:rPr>
          <w:lang w:val="nn-NO"/>
        </w:rPr>
        <w:t xml:space="preserve"> gjev</w:t>
      </w:r>
      <w:r w:rsidRPr="00900706">
        <w:rPr>
          <w:lang w:val="nn-NO"/>
        </w:rPr>
        <w:t xml:space="preserve"> e</w:t>
      </w:r>
      <w:r>
        <w:rPr>
          <w:lang w:val="nn-NO"/>
        </w:rPr>
        <w:t>in</w:t>
      </w:r>
      <w:r w:rsidR="009F4531">
        <w:rPr>
          <w:lang w:val="nn-NO"/>
        </w:rPr>
        <w:t xml:space="preserve"> effektiv kontroll med kommunane sin</w:t>
      </w:r>
      <w:r w:rsidRPr="00900706">
        <w:rPr>
          <w:lang w:val="nn-NO"/>
        </w:rPr>
        <w:t xml:space="preserve"> praksis.</w:t>
      </w:r>
      <w:r>
        <w:rPr>
          <w:lang w:val="nn-NO"/>
        </w:rPr>
        <w:t xml:space="preserve"> Undersøkinga gav </w:t>
      </w:r>
      <w:r w:rsidR="009C28DC">
        <w:rPr>
          <w:lang w:val="nn-NO"/>
        </w:rPr>
        <w:t>særleg</w:t>
      </w:r>
      <w:r w:rsidRPr="00900706">
        <w:rPr>
          <w:lang w:val="nn-NO"/>
        </w:rPr>
        <w:t xml:space="preserve"> grunn </w:t>
      </w:r>
      <w:r>
        <w:rPr>
          <w:lang w:val="nn-NO"/>
        </w:rPr>
        <w:t>til</w:t>
      </w:r>
      <w:r w:rsidRPr="00900706">
        <w:rPr>
          <w:lang w:val="nn-NO"/>
        </w:rPr>
        <w:t xml:space="preserve"> å </w:t>
      </w:r>
      <w:r w:rsidR="00E57AF3">
        <w:rPr>
          <w:lang w:val="nn-NO"/>
        </w:rPr>
        <w:t>vere</w:t>
      </w:r>
      <w:r w:rsidRPr="00900706">
        <w:rPr>
          <w:lang w:val="nn-NO"/>
        </w:rPr>
        <w:t xml:space="preserve"> </w:t>
      </w:r>
      <w:r>
        <w:rPr>
          <w:lang w:val="nn-NO"/>
        </w:rPr>
        <w:t>uroa</w:t>
      </w:r>
      <w:r w:rsidR="002C1FEF">
        <w:rPr>
          <w:lang w:val="nn-NO"/>
        </w:rPr>
        <w:t xml:space="preserve"> for om rett til medverknad</w:t>
      </w:r>
      <w:r w:rsidRPr="00900706">
        <w:rPr>
          <w:lang w:val="nn-NO"/>
        </w:rPr>
        <w:t xml:space="preserve"> og </w:t>
      </w:r>
      <w:r>
        <w:rPr>
          <w:lang w:val="nn-NO"/>
        </w:rPr>
        <w:t>sjølvråderett</w:t>
      </w:r>
      <w:r w:rsidRPr="00900706">
        <w:rPr>
          <w:lang w:val="nn-NO"/>
        </w:rPr>
        <w:t xml:space="preserve"> </w:t>
      </w:r>
      <w:r w:rsidR="000D6A81">
        <w:rPr>
          <w:lang w:val="nn-NO"/>
        </w:rPr>
        <w:t>blir</w:t>
      </w:r>
      <w:r>
        <w:rPr>
          <w:lang w:val="nn-NO"/>
        </w:rPr>
        <w:t xml:space="preserve"> </w:t>
      </w:r>
      <w:r w:rsidRPr="00900706">
        <w:rPr>
          <w:lang w:val="nn-NO"/>
        </w:rPr>
        <w:t>ivareta</w:t>
      </w:r>
      <w:r>
        <w:rPr>
          <w:lang w:val="nn-NO"/>
        </w:rPr>
        <w:t>tt</w:t>
      </w:r>
      <w:r w:rsidRPr="00900706">
        <w:rPr>
          <w:lang w:val="nn-NO"/>
        </w:rPr>
        <w:t xml:space="preserve"> på e</w:t>
      </w:r>
      <w:r w:rsidR="000D6A81">
        <w:rPr>
          <w:lang w:val="nn-NO"/>
        </w:rPr>
        <w:t>i</w:t>
      </w:r>
      <w:r w:rsidRPr="00900706">
        <w:rPr>
          <w:lang w:val="nn-NO"/>
        </w:rPr>
        <w:t>n tilfredsstillande måte</w:t>
      </w:r>
      <w:r>
        <w:rPr>
          <w:lang w:val="nn-NO"/>
        </w:rPr>
        <w:t xml:space="preserve"> gjennom alle ledd av </w:t>
      </w:r>
      <w:r w:rsidRPr="00900706">
        <w:rPr>
          <w:lang w:val="nn-NO"/>
        </w:rPr>
        <w:t>sakshandsaminga</w:t>
      </w:r>
      <w:r>
        <w:rPr>
          <w:lang w:val="nn-NO"/>
        </w:rPr>
        <w:t>. Endeleg gav undersøkinga grunn</w:t>
      </w:r>
      <w:r w:rsidRPr="00900706">
        <w:rPr>
          <w:lang w:val="nn-NO"/>
        </w:rPr>
        <w:t xml:space="preserve"> til å </w:t>
      </w:r>
      <w:r w:rsidR="00E57AF3">
        <w:rPr>
          <w:lang w:val="nn-NO"/>
        </w:rPr>
        <w:t>vere</w:t>
      </w:r>
      <w:r w:rsidRPr="00900706">
        <w:rPr>
          <w:lang w:val="nn-NO"/>
        </w:rPr>
        <w:t xml:space="preserve"> </w:t>
      </w:r>
      <w:r>
        <w:rPr>
          <w:lang w:val="nn-NO"/>
        </w:rPr>
        <w:t>uroa</w:t>
      </w:r>
      <w:r w:rsidR="004E4C91">
        <w:rPr>
          <w:lang w:val="nn-NO"/>
        </w:rPr>
        <w:t xml:space="preserve"> for om persona</w:t>
      </w:r>
      <w:r w:rsidRPr="00900706">
        <w:rPr>
          <w:lang w:val="nn-NO"/>
        </w:rPr>
        <w:t>r med vedtak ett</w:t>
      </w:r>
      <w:r>
        <w:rPr>
          <w:lang w:val="nn-NO"/>
        </w:rPr>
        <w:t>er helse- og omsorgstenestelova kapittel 9 får oppfylt sine rettar</w:t>
      </w:r>
      <w:r w:rsidRPr="00900706">
        <w:rPr>
          <w:lang w:val="nn-NO"/>
        </w:rPr>
        <w:t xml:space="preserve"> etter forvaltn</w:t>
      </w:r>
      <w:r>
        <w:rPr>
          <w:lang w:val="nn-NO"/>
        </w:rPr>
        <w:t>ingslova</w:t>
      </w:r>
      <w:r w:rsidRPr="00900706">
        <w:rPr>
          <w:lang w:val="nn-NO"/>
        </w:rPr>
        <w:t xml:space="preserve"> på lik linje med andre.</w:t>
      </w:r>
      <w:r>
        <w:rPr>
          <w:lang w:val="nn-NO"/>
        </w:rPr>
        <w:t xml:space="preserve"> </w:t>
      </w:r>
    </w:p>
    <w:p w:rsidR="00650938" w:rsidRDefault="00650938" w:rsidP="00650938">
      <w:pPr>
        <w:rPr>
          <w:lang w:val="nn-NO"/>
        </w:rPr>
      </w:pPr>
      <w:r>
        <w:rPr>
          <w:lang w:val="nn-NO"/>
        </w:rPr>
        <w:t>Undersøkinga</w:t>
      </w:r>
      <w:r w:rsidRPr="00900706">
        <w:rPr>
          <w:lang w:val="nn-NO"/>
        </w:rPr>
        <w:t xml:space="preserve"> er presentert i ein rapport som er lagt ut på </w:t>
      </w:r>
      <w:r>
        <w:rPr>
          <w:lang w:val="nn-NO"/>
        </w:rPr>
        <w:t>ombodet</w:t>
      </w:r>
      <w:r w:rsidRPr="00900706">
        <w:rPr>
          <w:lang w:val="nn-NO"/>
        </w:rPr>
        <w:t xml:space="preserve"> si nettside:</w:t>
      </w:r>
    </w:p>
    <w:p w:rsidR="00650938" w:rsidRPr="00900706" w:rsidRDefault="00BD4FBF" w:rsidP="00650938">
      <w:pPr>
        <w:rPr>
          <w:lang w:val="nn-NO"/>
        </w:rPr>
      </w:pPr>
      <w:hyperlink r:id="rId11" w:history="1">
        <w:r w:rsidR="00650938" w:rsidRPr="0013333D">
          <w:rPr>
            <w:rStyle w:val="Hyperkobling"/>
            <w:lang w:val="nn-NO"/>
          </w:rPr>
          <w:t>https://www.ldo.no/</w:t>
        </w:r>
        <w:r w:rsidR="00255232">
          <w:rPr>
            <w:rStyle w:val="Hyperkobling"/>
            <w:lang w:val="nn-NO"/>
          </w:rPr>
          <w:t>ombodet</w:t>
        </w:r>
        <w:r w:rsidR="00650938" w:rsidRPr="0013333D">
          <w:rPr>
            <w:rStyle w:val="Hyperkobling"/>
            <w:lang w:val="nn-NO"/>
          </w:rPr>
          <w:t>-og-samfunnet/rapporter/tvang/</w:t>
        </w:r>
      </w:hyperlink>
    </w:p>
    <w:p w:rsidR="00650938" w:rsidRPr="00D0288B" w:rsidRDefault="00650938" w:rsidP="00650938">
      <w:pPr>
        <w:rPr>
          <w:highlight w:val="yellow"/>
          <w:lang w:val="nn-NO"/>
        </w:rPr>
      </w:pPr>
      <w:r w:rsidRPr="00900706">
        <w:rPr>
          <w:lang w:val="nn-NO"/>
        </w:rPr>
        <w:t xml:space="preserve">Fylkesmannen i </w:t>
      </w:r>
      <w:r>
        <w:rPr>
          <w:lang w:val="nn-NO"/>
        </w:rPr>
        <w:t>Innlandet</w:t>
      </w:r>
      <w:r w:rsidRPr="00900706">
        <w:rPr>
          <w:lang w:val="nn-NO"/>
        </w:rPr>
        <w:t xml:space="preserve"> </w:t>
      </w:r>
      <w:r>
        <w:rPr>
          <w:lang w:val="nn-NO"/>
        </w:rPr>
        <w:t xml:space="preserve">(nytt namn frå 2020) </w:t>
      </w:r>
      <w:r w:rsidR="004E4C91">
        <w:rPr>
          <w:lang w:val="nn-NO"/>
        </w:rPr>
        <w:t>har i etterkant av rapporten sett i gang ei</w:t>
      </w:r>
      <w:r w:rsidRPr="00900706">
        <w:rPr>
          <w:lang w:val="nn-NO"/>
        </w:rPr>
        <w:t xml:space="preserve"> rekk</w:t>
      </w:r>
      <w:r w:rsidR="004E4C91">
        <w:rPr>
          <w:lang w:val="nn-NO"/>
        </w:rPr>
        <w:t>j</w:t>
      </w:r>
      <w:r w:rsidRPr="00900706">
        <w:rPr>
          <w:lang w:val="nn-NO"/>
        </w:rPr>
        <w:t xml:space="preserve">e tiltak for å </w:t>
      </w:r>
      <w:r>
        <w:rPr>
          <w:lang w:val="nn-NO"/>
        </w:rPr>
        <w:t>betre</w:t>
      </w:r>
      <w:r w:rsidRPr="00900706">
        <w:rPr>
          <w:lang w:val="nn-NO"/>
        </w:rPr>
        <w:t xml:space="preserve"> den </w:t>
      </w:r>
      <w:r w:rsidR="004E4C91">
        <w:rPr>
          <w:lang w:val="nn-NO"/>
        </w:rPr>
        <w:t>einskilde sin</w:t>
      </w:r>
      <w:r w:rsidRPr="00900706">
        <w:rPr>
          <w:lang w:val="nn-NO"/>
        </w:rPr>
        <w:t xml:space="preserve"> </w:t>
      </w:r>
      <w:r>
        <w:rPr>
          <w:lang w:val="nn-NO"/>
        </w:rPr>
        <w:t>rettstryggleik</w:t>
      </w:r>
      <w:r w:rsidRPr="00900706">
        <w:rPr>
          <w:lang w:val="nn-NO"/>
        </w:rPr>
        <w:t xml:space="preserve"> i sakshandsaminga.</w:t>
      </w:r>
    </w:p>
    <w:p w:rsidR="00650938" w:rsidRPr="005E7714" w:rsidRDefault="00650938" w:rsidP="00650938">
      <w:pPr>
        <w:rPr>
          <w:b/>
        </w:rPr>
      </w:pPr>
      <w:r w:rsidRPr="005E7714">
        <w:rPr>
          <w:b/>
        </w:rPr>
        <w:lastRenderedPageBreak/>
        <w:t xml:space="preserve">CSW </w:t>
      </w:r>
      <w:r w:rsidR="00421A16" w:rsidRPr="00421A16">
        <w:rPr>
          <w:b/>
          <w:lang w:val="en-GB"/>
        </w:rPr>
        <w:t>(Commission on the Status of Women)</w:t>
      </w:r>
    </w:p>
    <w:p w:rsidR="00421A16" w:rsidRDefault="00421A16" w:rsidP="00650938">
      <w:r>
        <w:rPr>
          <w:lang w:val="en-GB"/>
        </w:rPr>
        <w:t>Ombodet delt</w:t>
      </w:r>
      <w:r w:rsidR="00D56484">
        <w:rPr>
          <w:lang w:val="en-GB"/>
        </w:rPr>
        <w:t>o</w:t>
      </w:r>
      <w:r>
        <w:rPr>
          <w:lang w:val="en-GB"/>
        </w:rPr>
        <w:t xml:space="preserve">k på CSW 63 i mars 2019. </w:t>
      </w:r>
      <w:r>
        <w:t>Hovedtema und</w:t>
      </w:r>
      <w:r w:rsidR="000906DE">
        <w:t>er sesjonen var velferdsordningar, tilgang til offentlege tjenester og be</w:t>
      </w:r>
      <w:r>
        <w:t>rekraftig in</w:t>
      </w:r>
      <w:r w:rsidR="000906DE">
        <w:t>fra</w:t>
      </w:r>
      <w:r>
        <w:t>struktur for kjønnslikestilling og styrk</w:t>
      </w:r>
      <w:r w:rsidR="00200817">
        <w:t>jing av kvinner og jenter sin</w:t>
      </w:r>
      <w:r>
        <w:t xml:space="preserve"> posisjon. </w:t>
      </w:r>
      <w:r w:rsidR="00255232">
        <w:t>Ombodet</w:t>
      </w:r>
      <w:r w:rsidR="00200817">
        <w:t xml:space="preserve"> held</w:t>
      </w:r>
      <w:r>
        <w:t xml:space="preserve"> innlegg på arrange</w:t>
      </w:r>
      <w:r w:rsidR="00200817">
        <w:t>me</w:t>
      </w:r>
      <w:r w:rsidR="00E57AF3">
        <w:t>nt</w:t>
      </w:r>
      <w:r>
        <w:t xml:space="preserve"> i regi av Norske Kvinners</w:t>
      </w:r>
      <w:r w:rsidR="00200817">
        <w:t xml:space="preserve"> Sanitetsforening om utfordringar knytt</w:t>
      </w:r>
      <w:r>
        <w:t xml:space="preserve"> til hels</w:t>
      </w:r>
      <w:r w:rsidR="00200817">
        <w:t>etilstand og tilgang til helset</w:t>
      </w:r>
      <w:r>
        <w:t xml:space="preserve">enester blant norske kvinner med </w:t>
      </w:r>
      <w:r w:rsidRPr="00A61778">
        <w:t>minoritetsbakgrunn.</w:t>
      </w:r>
    </w:p>
    <w:p w:rsidR="00650938" w:rsidRPr="005E7714" w:rsidRDefault="00650938" w:rsidP="00650938">
      <w:pPr>
        <w:rPr>
          <w:highlight w:val="yellow"/>
        </w:rPr>
      </w:pPr>
    </w:p>
    <w:p w:rsidR="00650938" w:rsidRPr="003E3CFA" w:rsidRDefault="00650938" w:rsidP="00650938">
      <w:pPr>
        <w:pStyle w:val="Overskrift3"/>
      </w:pPr>
      <w:bookmarkStart w:id="13" w:name="_Toc507757893"/>
      <w:r w:rsidRPr="003E3CFA">
        <w:t>Høyringsfråsegn</w:t>
      </w:r>
      <w:bookmarkEnd w:id="13"/>
    </w:p>
    <w:p w:rsidR="00650938" w:rsidRDefault="00650938" w:rsidP="00650938">
      <w:pPr>
        <w:rPr>
          <w:b/>
          <w:lang w:val="nn-NO"/>
        </w:rPr>
      </w:pPr>
      <w:r>
        <w:rPr>
          <w:lang w:val="nn-NO"/>
        </w:rPr>
        <w:t xml:space="preserve">Høyringsfråsegn og innspel til handlingsplanar og liknande </w:t>
      </w:r>
      <w:r w:rsidR="00904AA6">
        <w:rPr>
          <w:lang w:val="nn-NO"/>
        </w:rPr>
        <w:t xml:space="preserve">gjer det mogleg å påverke lovgjeving og politiske tiltak, og </w:t>
      </w:r>
      <w:r>
        <w:rPr>
          <w:lang w:val="nn-NO"/>
        </w:rPr>
        <w:t xml:space="preserve">er ein viktig del av ombodet sitt pådrivararbeid. </w:t>
      </w:r>
      <w:r w:rsidR="003922CD">
        <w:rPr>
          <w:lang w:val="nn-NO"/>
        </w:rPr>
        <w:t xml:space="preserve">Høyringsarbeidet er nært knytt til tilsynet ombodet har med FN-konvensjonane og den nasjonale lovgjevinga. LDO gav 32 fråsegn og større innspel i 2019. </w:t>
      </w:r>
      <w:r>
        <w:rPr>
          <w:lang w:val="nn-NO"/>
        </w:rPr>
        <w:t xml:space="preserve">Vi ønskjer å trekkje </w:t>
      </w:r>
      <w:r w:rsidR="00874F39">
        <w:rPr>
          <w:lang w:val="nn-NO"/>
        </w:rPr>
        <w:t>fram nokre av høyringsfråsegnene</w:t>
      </w:r>
      <w:r>
        <w:rPr>
          <w:lang w:val="nn-NO"/>
        </w:rPr>
        <w:t xml:space="preserve"> og innspela våre frå 2019.</w:t>
      </w:r>
    </w:p>
    <w:p w:rsidR="00650938" w:rsidRPr="0013333D" w:rsidRDefault="00650938" w:rsidP="00650938">
      <w:pPr>
        <w:rPr>
          <w:b/>
          <w:lang w:val="nn-NO"/>
        </w:rPr>
      </w:pPr>
    </w:p>
    <w:p w:rsidR="00650938" w:rsidRPr="00861BEF" w:rsidRDefault="00650938" w:rsidP="00650938">
      <w:pPr>
        <w:rPr>
          <w:b/>
          <w:lang w:val="nn-NO"/>
        </w:rPr>
      </w:pPr>
      <w:r w:rsidRPr="00861BEF">
        <w:rPr>
          <w:b/>
          <w:lang w:val="nn-NO"/>
        </w:rPr>
        <w:t>NOU 2019:5 Ny forvaltningslov</w:t>
      </w:r>
      <w:r>
        <w:rPr>
          <w:b/>
          <w:lang w:val="nn-NO"/>
        </w:rPr>
        <w:t xml:space="preserve"> </w:t>
      </w:r>
    </w:p>
    <w:p w:rsidR="00650938" w:rsidRPr="005226E9" w:rsidRDefault="00650938" w:rsidP="00650938">
      <w:pPr>
        <w:rPr>
          <w:lang w:val="nn-NO"/>
        </w:rPr>
      </w:pPr>
      <w:r>
        <w:rPr>
          <w:lang w:val="nn-NO"/>
        </w:rPr>
        <w:t xml:space="preserve">I høyringsfråsegna til utgreiinga om ny forvaltningslov var ombodet særleg oppteken av rettstryggleik. Ombodet </w:t>
      </w:r>
      <w:r w:rsidR="006B4533">
        <w:rPr>
          <w:lang w:val="nn-NO"/>
        </w:rPr>
        <w:t>fra</w:t>
      </w:r>
      <w:r>
        <w:rPr>
          <w:lang w:val="nn-NO"/>
        </w:rPr>
        <w:t>mheva spesielt reglane om forvaltningsorgana si plikt til å gje tilpassa rettleiing og forslaget til føresegn om klarspråk. Dette er viktig for at partane skal kunne bruke partsrettane dei har etter lova. Samstundes peika ombodet på at det kan vere naudsynt, til dømes i forskrift e</w:t>
      </w:r>
      <w:r w:rsidR="006B4533">
        <w:rPr>
          <w:lang w:val="nn-NO"/>
        </w:rPr>
        <w:t>ller rundskriv, å avklare nær</w:t>
      </w:r>
      <w:r>
        <w:rPr>
          <w:lang w:val="nn-NO"/>
        </w:rPr>
        <w:t>are kor langt plikta til rettleiing rekkjer.</w:t>
      </w:r>
    </w:p>
    <w:p w:rsidR="00650938" w:rsidRPr="00924F5E" w:rsidRDefault="00650938" w:rsidP="00650938">
      <w:pPr>
        <w:autoSpaceDE w:val="0"/>
        <w:autoSpaceDN w:val="0"/>
        <w:adjustRightInd w:val="0"/>
        <w:spacing w:before="0" w:after="0"/>
        <w:rPr>
          <w:lang w:val="nn-NO"/>
        </w:rPr>
      </w:pPr>
      <w:r w:rsidRPr="00924F5E">
        <w:rPr>
          <w:lang w:val="nn-NO"/>
        </w:rPr>
        <w:t xml:space="preserve">Lovutkastet hadde </w:t>
      </w:r>
      <w:r>
        <w:rPr>
          <w:lang w:val="nn-NO"/>
        </w:rPr>
        <w:t xml:space="preserve">óg </w:t>
      </w:r>
      <w:r w:rsidRPr="00924F5E">
        <w:rPr>
          <w:lang w:val="nn-NO"/>
        </w:rPr>
        <w:t>forslag til føresegner om he</w:t>
      </w:r>
      <w:r w:rsidR="00E27A20">
        <w:rPr>
          <w:lang w:val="nn-NO"/>
        </w:rPr>
        <w:t>i</w:t>
      </w:r>
      <w:r w:rsidRPr="00924F5E">
        <w:rPr>
          <w:lang w:val="nn-NO"/>
        </w:rPr>
        <w:t>lautomatisert sakshandsaming og</w:t>
      </w:r>
    </w:p>
    <w:p w:rsidR="00650938" w:rsidRDefault="00650938" w:rsidP="00650938">
      <w:pPr>
        <w:autoSpaceDE w:val="0"/>
        <w:autoSpaceDN w:val="0"/>
        <w:adjustRightInd w:val="0"/>
        <w:spacing w:before="0" w:after="0"/>
        <w:rPr>
          <w:lang w:val="nn-NO"/>
        </w:rPr>
      </w:pPr>
      <w:r w:rsidRPr="00924F5E">
        <w:rPr>
          <w:lang w:val="nn-NO"/>
        </w:rPr>
        <w:t>automatiserte sakshandsamingssystem.</w:t>
      </w:r>
      <w:r>
        <w:rPr>
          <w:lang w:val="nn-NO"/>
        </w:rPr>
        <w:t xml:space="preserve"> Ombodet meiner b</w:t>
      </w:r>
      <w:r w:rsidR="00E27A20">
        <w:rPr>
          <w:lang w:val="nn-NO"/>
        </w:rPr>
        <w:t>ruk av algoritma</w:t>
      </w:r>
      <w:r w:rsidRPr="00924F5E">
        <w:rPr>
          <w:lang w:val="nn-NO"/>
        </w:rPr>
        <w:t>r og kunstig intelligens, inkludert maskinlæring, til profilering (her: automatisert kategorisering) og til heil eller delvis automatisert sakshandsaming kan re</w:t>
      </w:r>
      <w:r>
        <w:rPr>
          <w:lang w:val="nn-NO"/>
        </w:rPr>
        <w:t xml:space="preserve">ise spørsmål om diskriminering. </w:t>
      </w:r>
      <w:r w:rsidRPr="00340018">
        <w:rPr>
          <w:lang w:val="nn-NO"/>
        </w:rPr>
        <w:t>Difor er det viktig å sikre at omsyn til likestilling og ikkje-diskriminering blir</w:t>
      </w:r>
      <w:r>
        <w:rPr>
          <w:lang w:val="nn-NO"/>
        </w:rPr>
        <w:t xml:space="preserve"> </w:t>
      </w:r>
      <w:r w:rsidRPr="00340018">
        <w:rPr>
          <w:lang w:val="nn-NO"/>
        </w:rPr>
        <w:t>ivareteke i sjølve utviklinga av algoritmane og systema.</w:t>
      </w:r>
      <w:r w:rsidR="00FC73F3">
        <w:rPr>
          <w:lang w:val="nn-NO"/>
        </w:rPr>
        <w:t xml:space="preserve"> </w:t>
      </w:r>
      <w:r w:rsidR="00FD4CC9">
        <w:rPr>
          <w:lang w:val="nn-NO"/>
        </w:rPr>
        <w:t xml:space="preserve">Av same grunn er det </w:t>
      </w:r>
      <w:r w:rsidRPr="00340018">
        <w:rPr>
          <w:lang w:val="nn-NO"/>
        </w:rPr>
        <w:t>viktig at det er openheit, innsyn og moglegheit for</w:t>
      </w:r>
      <w:r w:rsidR="000A583D">
        <w:rPr>
          <w:lang w:val="nn-NO"/>
        </w:rPr>
        <w:t xml:space="preserve"> kontroll av datagrunnlaga</w:t>
      </w:r>
      <w:r w:rsidRPr="00340018">
        <w:rPr>
          <w:lang w:val="nn-NO"/>
        </w:rPr>
        <w:t xml:space="preserve"> algoritm</w:t>
      </w:r>
      <w:r w:rsidR="000A583D">
        <w:rPr>
          <w:lang w:val="nn-NO"/>
        </w:rPr>
        <w:t>ane byggjer på og av det rettsle</w:t>
      </w:r>
      <w:r w:rsidRPr="00340018">
        <w:rPr>
          <w:lang w:val="nn-NO"/>
        </w:rPr>
        <w:t>ge</w:t>
      </w:r>
      <w:r>
        <w:rPr>
          <w:lang w:val="nn-NO"/>
        </w:rPr>
        <w:t xml:space="preserve"> </w:t>
      </w:r>
      <w:r w:rsidRPr="00340018">
        <w:rPr>
          <w:lang w:val="nn-NO"/>
        </w:rPr>
        <w:t>innhaldet i dei automatiserte sakshandsamingssystema. Det må også</w:t>
      </w:r>
      <w:r>
        <w:rPr>
          <w:lang w:val="nn-NO"/>
        </w:rPr>
        <w:t xml:space="preserve"> </w:t>
      </w:r>
      <w:r w:rsidR="000A583D">
        <w:rPr>
          <w:lang w:val="nn-NO"/>
        </w:rPr>
        <w:t>fra</w:t>
      </w:r>
      <w:r w:rsidRPr="00340018">
        <w:rPr>
          <w:lang w:val="nn-NO"/>
        </w:rPr>
        <w:t xml:space="preserve">mgå klart av lovverket, medrekna dei aktuelle føresegnene i forvaltningslova, kven som er ansvarssubjekt </w:t>
      </w:r>
      <w:r>
        <w:rPr>
          <w:lang w:val="nn-NO"/>
        </w:rPr>
        <w:t>her</w:t>
      </w:r>
      <w:r w:rsidRPr="00340018">
        <w:rPr>
          <w:lang w:val="nn-NO"/>
        </w:rPr>
        <w:t>.</w:t>
      </w:r>
    </w:p>
    <w:p w:rsidR="00650938" w:rsidRDefault="00650938" w:rsidP="00650938">
      <w:pPr>
        <w:autoSpaceDE w:val="0"/>
        <w:autoSpaceDN w:val="0"/>
        <w:adjustRightInd w:val="0"/>
        <w:spacing w:before="0" w:after="0"/>
        <w:rPr>
          <w:lang w:val="nn-NO"/>
        </w:rPr>
      </w:pPr>
    </w:p>
    <w:p w:rsidR="00650938" w:rsidRPr="003D225A" w:rsidRDefault="00650938" w:rsidP="00650938">
      <w:pPr>
        <w:rPr>
          <w:b/>
          <w:lang w:val="nn-NO"/>
        </w:rPr>
      </w:pPr>
      <w:r w:rsidRPr="003D225A">
        <w:rPr>
          <w:b/>
          <w:lang w:val="nn-NO"/>
        </w:rPr>
        <w:t xml:space="preserve">Ny forskrift om pass og nasjonalt ID-kort </w:t>
      </w:r>
    </w:p>
    <w:p w:rsidR="00650938" w:rsidRDefault="00650938" w:rsidP="00650938">
      <w:pPr>
        <w:rPr>
          <w:lang w:val="nn-NO"/>
        </w:rPr>
      </w:pPr>
      <w:r>
        <w:rPr>
          <w:lang w:val="nn-NO"/>
        </w:rPr>
        <w:t xml:space="preserve">Ombodet svarte på forslaget om å </w:t>
      </w:r>
      <w:r w:rsidR="0002226C">
        <w:rPr>
          <w:lang w:val="nn-NO"/>
        </w:rPr>
        <w:t>tillate bilete utan synlege øyre</w:t>
      </w:r>
      <w:r>
        <w:rPr>
          <w:lang w:val="nn-NO"/>
        </w:rPr>
        <w:t>r i pass og på nasjonale ID-kort. Dette er ei problemstilling som er særleg relevant for religiøse minoritetar som nyttar religiøse hovudplagg. Til no h</w:t>
      </w:r>
      <w:r w:rsidR="0002226C">
        <w:rPr>
          <w:lang w:val="nn-NO"/>
        </w:rPr>
        <w:t>ar det vore krav om synlege øyre</w:t>
      </w:r>
      <w:r>
        <w:rPr>
          <w:lang w:val="nn-NO"/>
        </w:rPr>
        <w:t xml:space="preserve">r på </w:t>
      </w:r>
      <w:r w:rsidR="0002226C">
        <w:rPr>
          <w:lang w:val="nn-NO"/>
        </w:rPr>
        <w:t>foto av ansiktet</w:t>
      </w:r>
      <w:r>
        <w:rPr>
          <w:lang w:val="nn-NO"/>
        </w:rPr>
        <w:t xml:space="preserve"> i passforskrifta. Både </w:t>
      </w:r>
      <w:r w:rsidRPr="00887A71">
        <w:rPr>
          <w:lang w:val="nn-NO"/>
        </w:rPr>
        <w:t xml:space="preserve">Diskrimineringsnemnda </w:t>
      </w:r>
      <w:r>
        <w:rPr>
          <w:lang w:val="nn-NO"/>
        </w:rPr>
        <w:t xml:space="preserve">og ombodet </w:t>
      </w:r>
      <w:r w:rsidRPr="00887A71">
        <w:rPr>
          <w:lang w:val="nn-NO"/>
        </w:rPr>
        <w:t>har lagt til grunn at dette kravet i utgangspunktet inneber ei ulik handsaming på grunn av religion, men at denne har vore lovleg etter føresegnene i lova.</w:t>
      </w:r>
    </w:p>
    <w:p w:rsidR="00650938" w:rsidRPr="00CE6215" w:rsidRDefault="00650938" w:rsidP="00650938">
      <w:pPr>
        <w:autoSpaceDE w:val="0"/>
        <w:autoSpaceDN w:val="0"/>
        <w:adjustRightInd w:val="0"/>
        <w:spacing w:before="0" w:after="0"/>
        <w:rPr>
          <w:lang w:val="nn-NO"/>
        </w:rPr>
      </w:pPr>
    </w:p>
    <w:p w:rsidR="00650938" w:rsidRPr="00CE6215" w:rsidRDefault="00650938" w:rsidP="00650938">
      <w:pPr>
        <w:autoSpaceDE w:val="0"/>
        <w:autoSpaceDN w:val="0"/>
        <w:adjustRightInd w:val="0"/>
        <w:spacing w:before="0" w:after="0"/>
        <w:rPr>
          <w:lang w:val="nn-NO"/>
        </w:rPr>
      </w:pPr>
      <w:r w:rsidRPr="00CE6215">
        <w:rPr>
          <w:lang w:val="nn-NO"/>
        </w:rPr>
        <w:t>Departe</w:t>
      </w:r>
      <w:r w:rsidR="00A1497B">
        <w:rPr>
          <w:lang w:val="nn-NO"/>
        </w:rPr>
        <w:t>me</w:t>
      </w:r>
      <w:r w:rsidR="00E57AF3">
        <w:rPr>
          <w:lang w:val="nn-NO"/>
        </w:rPr>
        <w:t>nt</w:t>
      </w:r>
      <w:r w:rsidRPr="00CE6215">
        <w:rPr>
          <w:lang w:val="nn-NO"/>
        </w:rPr>
        <w:t>et</w:t>
      </w:r>
      <w:r w:rsidR="005B0C8C">
        <w:rPr>
          <w:lang w:val="nn-NO"/>
        </w:rPr>
        <w:t xml:space="preserve"> skreiv i høyringsbrevet at øyre</w:t>
      </w:r>
      <w:r w:rsidRPr="00CE6215">
        <w:rPr>
          <w:lang w:val="nn-NO"/>
        </w:rPr>
        <w:t xml:space="preserve">r som </w:t>
      </w:r>
      <w:r w:rsidR="005B0C8C">
        <w:rPr>
          <w:lang w:val="nn-NO"/>
        </w:rPr>
        <w:t>grunnlag for samanlikning</w:t>
      </w:r>
      <w:r w:rsidRPr="00CE6215">
        <w:rPr>
          <w:lang w:val="nn-NO"/>
        </w:rPr>
        <w:t xml:space="preserve"> vil få redusert </w:t>
      </w:r>
      <w:r w:rsidR="005B0C8C">
        <w:rPr>
          <w:lang w:val="nn-NO"/>
        </w:rPr>
        <w:t>be</w:t>
      </w:r>
      <w:r w:rsidR="00CE32F1">
        <w:rPr>
          <w:lang w:val="nn-NO"/>
        </w:rPr>
        <w:t>tyding frå 2020, fordi øyre</w:t>
      </w:r>
      <w:r w:rsidRPr="00CE6215">
        <w:rPr>
          <w:lang w:val="nn-NO"/>
        </w:rPr>
        <w:t>r ikkje vert brukt i algoritmane for automatisert</w:t>
      </w:r>
      <w:r w:rsidRPr="00A1497B">
        <w:rPr>
          <w:shd w:val="clear" w:color="auto" w:fill="FFFFFF" w:themeFill="background1"/>
          <w:lang w:val="nn-NO"/>
        </w:rPr>
        <w:t xml:space="preserve"> </w:t>
      </w:r>
      <w:r w:rsidR="00CE32F1" w:rsidRPr="00A1497B">
        <w:rPr>
          <w:shd w:val="clear" w:color="auto" w:fill="FFFFFF" w:themeFill="background1"/>
          <w:lang w:val="nn-NO"/>
        </w:rPr>
        <w:t>gjenkjenning</w:t>
      </w:r>
      <w:r w:rsidR="00CE32F1">
        <w:rPr>
          <w:lang w:val="nn-NO"/>
        </w:rPr>
        <w:t xml:space="preserve"> av ansikt som</w:t>
      </w:r>
      <w:r w:rsidR="009656F1">
        <w:rPr>
          <w:lang w:val="nn-NO"/>
        </w:rPr>
        <w:t xml:space="preserve"> då</w:t>
      </w:r>
      <w:r w:rsidRPr="00CE6215">
        <w:rPr>
          <w:lang w:val="nn-NO"/>
        </w:rPr>
        <w:t xml:space="preserve"> skal </w:t>
      </w:r>
      <w:r w:rsidR="009656F1">
        <w:rPr>
          <w:lang w:val="nn-NO"/>
        </w:rPr>
        <w:t xml:space="preserve">verte innført </w:t>
      </w:r>
      <w:r w:rsidRPr="00CE6215">
        <w:rPr>
          <w:lang w:val="nn-NO"/>
        </w:rPr>
        <w:t>for alle søkjarar. Samstundes skreiv departe</w:t>
      </w:r>
      <w:r w:rsidR="009E48D9">
        <w:rPr>
          <w:lang w:val="nn-NO"/>
        </w:rPr>
        <w:t>me</w:t>
      </w:r>
      <w:r w:rsidR="00E57AF3">
        <w:rPr>
          <w:lang w:val="nn-NO"/>
        </w:rPr>
        <w:t>nt</w:t>
      </w:r>
      <w:r w:rsidRPr="00CE6215">
        <w:rPr>
          <w:lang w:val="nn-NO"/>
        </w:rPr>
        <w:t xml:space="preserve">et at det i mange år vil vere behov </w:t>
      </w:r>
      <w:r w:rsidR="0063287C">
        <w:rPr>
          <w:lang w:val="nn-NO"/>
        </w:rPr>
        <w:t>for manuelle vurderingar av bilete</w:t>
      </w:r>
      <w:r w:rsidRPr="00CE6215">
        <w:rPr>
          <w:lang w:val="nn-NO"/>
        </w:rPr>
        <w:t xml:space="preserve"> ved treff i det automatiserte systemet, sid</w:t>
      </w:r>
      <w:r>
        <w:rPr>
          <w:lang w:val="nn-NO"/>
        </w:rPr>
        <w:t>a</w:t>
      </w:r>
      <w:r w:rsidRPr="00CE6215">
        <w:rPr>
          <w:lang w:val="nn-NO"/>
        </w:rPr>
        <w:t xml:space="preserve">n dette ikkje gjev heilt eintydige resultat. Ombodet </w:t>
      </w:r>
      <w:r>
        <w:rPr>
          <w:lang w:val="nn-NO"/>
        </w:rPr>
        <w:t>e</w:t>
      </w:r>
      <w:r w:rsidRPr="00CE6215">
        <w:rPr>
          <w:lang w:val="nn-NO"/>
        </w:rPr>
        <w:t xml:space="preserve">r einig i at dette tyder </w:t>
      </w:r>
      <w:r w:rsidR="00795B74">
        <w:rPr>
          <w:lang w:val="nn-NO"/>
        </w:rPr>
        <w:t xml:space="preserve">på </w:t>
      </w:r>
      <w:r w:rsidRPr="00CE6215">
        <w:rPr>
          <w:lang w:val="nn-NO"/>
        </w:rPr>
        <w:t>at e</w:t>
      </w:r>
      <w:r w:rsidR="00795B74">
        <w:rPr>
          <w:lang w:val="nn-NO"/>
        </w:rPr>
        <w:t>it generelt krav om synlege øyrer på ansiktsbilete</w:t>
      </w:r>
      <w:r w:rsidRPr="00CE6215">
        <w:rPr>
          <w:lang w:val="nn-NO"/>
        </w:rPr>
        <w:t xml:space="preserve"> i pass og nasjonale ID-kort kunne vere </w:t>
      </w:r>
      <w:r w:rsidRPr="00CE6215">
        <w:rPr>
          <w:lang w:val="nn-NO"/>
        </w:rPr>
        <w:lastRenderedPageBreak/>
        <w:t>s</w:t>
      </w:r>
      <w:r w:rsidR="00614102">
        <w:rPr>
          <w:lang w:val="nn-NO"/>
        </w:rPr>
        <w:t>akleg å stille, men at det må kunne</w:t>
      </w:r>
      <w:r w:rsidRPr="00CE6215">
        <w:rPr>
          <w:lang w:val="nn-NO"/>
        </w:rPr>
        <w:t xml:space="preserve"> gje</w:t>
      </w:r>
      <w:r w:rsidR="00DC0A34">
        <w:rPr>
          <w:lang w:val="nn-NO"/>
        </w:rPr>
        <w:t>rast unntak for dei som ber hovud</w:t>
      </w:r>
      <w:r w:rsidRPr="00CE6215">
        <w:rPr>
          <w:lang w:val="nn-NO"/>
        </w:rPr>
        <w:t xml:space="preserve">plagg av religiøse eller andre særskilte grunnar, inkludert av medisinske årsaker. </w:t>
      </w:r>
    </w:p>
    <w:p w:rsidR="00650938" w:rsidRPr="00CE6215" w:rsidRDefault="00650938" w:rsidP="00650938">
      <w:pPr>
        <w:autoSpaceDE w:val="0"/>
        <w:autoSpaceDN w:val="0"/>
        <w:adjustRightInd w:val="0"/>
        <w:spacing w:before="0" w:after="0"/>
        <w:rPr>
          <w:lang w:val="nn-NO"/>
        </w:rPr>
      </w:pPr>
    </w:p>
    <w:p w:rsidR="00650938" w:rsidRDefault="00650938" w:rsidP="00FC73F3">
      <w:pPr>
        <w:autoSpaceDE w:val="0"/>
        <w:autoSpaceDN w:val="0"/>
        <w:adjustRightInd w:val="0"/>
        <w:spacing w:before="0" w:after="0"/>
        <w:rPr>
          <w:lang w:val="nn-NO"/>
        </w:rPr>
      </w:pPr>
      <w:r w:rsidRPr="00CE6215">
        <w:rPr>
          <w:lang w:val="nn-NO"/>
        </w:rPr>
        <w:t>E</w:t>
      </w:r>
      <w:r w:rsidR="00A033EB">
        <w:rPr>
          <w:lang w:val="nn-NO"/>
        </w:rPr>
        <w:t>it absolutt krav om synlege øyre</w:t>
      </w:r>
      <w:r w:rsidRPr="00CE6215">
        <w:rPr>
          <w:lang w:val="nn-NO"/>
        </w:rPr>
        <w:t xml:space="preserve">r vil kunne vere uhøveleg. For dei personane det gjeld, vil eit slikt krav kunne innebere krenking ved kvar </w:t>
      </w:r>
      <w:r w:rsidR="00494DF2">
        <w:rPr>
          <w:lang w:val="nn-NO"/>
        </w:rPr>
        <w:t>fra</w:t>
      </w:r>
      <w:r w:rsidRPr="00CE6215">
        <w:rPr>
          <w:lang w:val="nn-NO"/>
        </w:rPr>
        <w:t>msyning av pas</w:t>
      </w:r>
      <w:r w:rsidR="00494DF2">
        <w:rPr>
          <w:lang w:val="nn-NO"/>
        </w:rPr>
        <w:t>set eller ID-kortet, dersom øyre</w:t>
      </w:r>
      <w:r w:rsidRPr="00CE6215">
        <w:rPr>
          <w:lang w:val="nn-NO"/>
        </w:rPr>
        <w:t>ne ikkje er tildekka på biletet. For nokre kan dette opplevast som så alvorleg at dei ikkje vil søkje om reisedoku</w:t>
      </w:r>
      <w:r w:rsidR="00957D2E">
        <w:rPr>
          <w:lang w:val="nn-NO"/>
        </w:rPr>
        <w:t>me</w:t>
      </w:r>
      <w:r w:rsidR="00E57AF3">
        <w:rPr>
          <w:lang w:val="nn-NO"/>
        </w:rPr>
        <w:t>nt</w:t>
      </w:r>
      <w:r w:rsidR="00957D2E">
        <w:rPr>
          <w:lang w:val="nn-NO"/>
        </w:rPr>
        <w:t>, og difor</w:t>
      </w:r>
      <w:r w:rsidRPr="00CE6215">
        <w:rPr>
          <w:lang w:val="nn-NO"/>
        </w:rPr>
        <w:t xml:space="preserve"> vert hindra frå å reise. Ein må gå ut frå at nasjonale ID-kort vil verte brukt oftare enn pass, ikkje minst ved identitetskontroll nasjonalt, uavhengig av reiser. Inngrepet i religionsf</w:t>
      </w:r>
      <w:r w:rsidR="007B0BA5">
        <w:rPr>
          <w:lang w:val="nn-NO"/>
        </w:rPr>
        <w:t>ridomen som krav om synlege øyrer på ansiktsbilete inneber, vil då</w:t>
      </w:r>
      <w:r w:rsidRPr="00CE6215">
        <w:rPr>
          <w:lang w:val="nn-NO"/>
        </w:rPr>
        <w:t xml:space="preserve"> kome opp i fleire samanhengar enn i dag, </w:t>
      </w:r>
      <w:r w:rsidR="001E11A3">
        <w:rPr>
          <w:lang w:val="nn-NO"/>
        </w:rPr>
        <w:t>og dermed få ei større betyding</w:t>
      </w:r>
      <w:r w:rsidRPr="00CE6215">
        <w:rPr>
          <w:lang w:val="nn-NO"/>
        </w:rPr>
        <w:t xml:space="preserve"> for den enkelte.</w:t>
      </w:r>
    </w:p>
    <w:p w:rsidR="00FC73F3" w:rsidRDefault="00FC73F3" w:rsidP="00FC73F3">
      <w:pPr>
        <w:autoSpaceDE w:val="0"/>
        <w:autoSpaceDN w:val="0"/>
        <w:adjustRightInd w:val="0"/>
        <w:spacing w:before="0" w:after="0"/>
        <w:rPr>
          <w:b/>
          <w:lang w:val="nn-NO"/>
        </w:rPr>
      </w:pPr>
    </w:p>
    <w:p w:rsidR="00650938" w:rsidRPr="009650D7" w:rsidRDefault="00650938" w:rsidP="00650938">
      <w:pPr>
        <w:rPr>
          <w:b/>
          <w:lang w:val="nn-NO"/>
        </w:rPr>
      </w:pPr>
      <w:r w:rsidRPr="009650D7">
        <w:rPr>
          <w:b/>
          <w:lang w:val="nn-NO"/>
        </w:rPr>
        <w:t>Forslag om endringar i abortlov</w:t>
      </w:r>
      <w:r>
        <w:rPr>
          <w:b/>
          <w:lang w:val="nn-NO"/>
        </w:rPr>
        <w:t>a</w:t>
      </w:r>
    </w:p>
    <w:p w:rsidR="00650938" w:rsidRPr="000D79A0" w:rsidRDefault="00650938" w:rsidP="00650938">
      <w:pPr>
        <w:rPr>
          <w:lang w:val="nn-NO"/>
        </w:rPr>
      </w:pPr>
      <w:r>
        <w:rPr>
          <w:lang w:val="nn-NO"/>
        </w:rPr>
        <w:t xml:space="preserve">Forslaget gjekk ut på å innføre krav om handsaming i nemnd av saker om fosterreduksjon ved fleirlingesvangerskap der reduksjonen skulle skje før veke </w:t>
      </w:r>
      <w:r w:rsidRPr="00DC2071">
        <w:rPr>
          <w:lang w:val="nn-NO"/>
        </w:rPr>
        <w:t>12. Ombodet støtta ikkje forslaget.</w:t>
      </w:r>
      <w:r>
        <w:rPr>
          <w:lang w:val="nn-NO"/>
        </w:rPr>
        <w:t xml:space="preserve"> </w:t>
      </w:r>
      <w:r w:rsidRPr="00DC2071">
        <w:rPr>
          <w:lang w:val="nn-NO"/>
        </w:rPr>
        <w:t xml:space="preserve">Ombodet </w:t>
      </w:r>
      <w:r>
        <w:rPr>
          <w:lang w:val="nn-NO"/>
        </w:rPr>
        <w:t>meiner</w:t>
      </w:r>
      <w:r w:rsidRPr="00DC2071">
        <w:rPr>
          <w:lang w:val="nn-NO"/>
        </w:rPr>
        <w:t xml:space="preserve"> at reproduktiv helse er ein viktig del av kvinners rettar, sjå art</w:t>
      </w:r>
      <w:r w:rsidR="00477933">
        <w:rPr>
          <w:lang w:val="nn-NO"/>
        </w:rPr>
        <w:t>ikkje</w:t>
      </w:r>
      <w:r w:rsidRPr="00DC2071">
        <w:rPr>
          <w:lang w:val="nn-NO"/>
        </w:rPr>
        <w:t xml:space="preserve">l 12 i </w:t>
      </w:r>
      <w:r w:rsidR="008712D3">
        <w:rPr>
          <w:lang w:val="nn-NO"/>
        </w:rPr>
        <w:t>FN</w:t>
      </w:r>
      <w:r w:rsidR="00B33AAA">
        <w:rPr>
          <w:lang w:val="nn-NO"/>
        </w:rPr>
        <w:t>-</w:t>
      </w:r>
      <w:r w:rsidR="008712D3">
        <w:rPr>
          <w:lang w:val="nn-NO"/>
        </w:rPr>
        <w:t xml:space="preserve"> konvensjonen</w:t>
      </w:r>
      <w:r w:rsidR="00B33AAA">
        <w:rPr>
          <w:lang w:val="nn-NO"/>
        </w:rPr>
        <w:t xml:space="preserve"> mot</w:t>
      </w:r>
      <w:r w:rsidR="004248E8">
        <w:rPr>
          <w:lang w:val="nn-NO"/>
        </w:rPr>
        <w:t xml:space="preserve"> diskrimin</w:t>
      </w:r>
      <w:r w:rsidR="00B33AAA">
        <w:rPr>
          <w:lang w:val="nn-NO"/>
        </w:rPr>
        <w:t>ering av</w:t>
      </w:r>
      <w:r w:rsidR="004248E8">
        <w:rPr>
          <w:lang w:val="nn-NO"/>
        </w:rPr>
        <w:t xml:space="preserve"> kvinner. </w:t>
      </w:r>
      <w:r>
        <w:rPr>
          <w:lang w:val="nn-NO"/>
        </w:rPr>
        <w:t>Det er óg</w:t>
      </w:r>
      <w:r w:rsidRPr="00DC2071">
        <w:rPr>
          <w:lang w:val="nn-NO"/>
        </w:rPr>
        <w:t xml:space="preserve"> eit sentralt tema i det nasjonale arbeidet for likestilling mellom kvinner og menn. Fosterreduksjon reiser etiske problemstillingar. Nasjonal </w:t>
      </w:r>
      <w:r w:rsidRPr="000D79A0">
        <w:rPr>
          <w:lang w:val="nn-NO"/>
        </w:rPr>
        <w:t xml:space="preserve">behandlingsteneste for avansert invasiv fostermedisin understreker i sitt høyringssvar at fosterreduksjon er eit komplisert inngrep med risiko for gjenverande foster. Dette tyder </w:t>
      </w:r>
      <w:r w:rsidR="00930EFD">
        <w:rPr>
          <w:lang w:val="nn-NO"/>
        </w:rPr>
        <w:t xml:space="preserve">på </w:t>
      </w:r>
      <w:r w:rsidRPr="000D79A0">
        <w:rPr>
          <w:lang w:val="nn-NO"/>
        </w:rPr>
        <w:t>at kvinna bør få god rettleiing i samband med inngrepet, slik at ho kan ta eit informert val. Det er likevel ikkje eit argu</w:t>
      </w:r>
      <w:r w:rsidR="00EF527F">
        <w:rPr>
          <w:lang w:val="nn-NO"/>
        </w:rPr>
        <w:t>me</w:t>
      </w:r>
      <w:r w:rsidR="00E57AF3">
        <w:rPr>
          <w:lang w:val="nn-NO"/>
        </w:rPr>
        <w:t>nt</w:t>
      </w:r>
      <w:r w:rsidRPr="000D79A0">
        <w:rPr>
          <w:lang w:val="nn-NO"/>
        </w:rPr>
        <w:t xml:space="preserve"> for å ta frå kvinner rett til </w:t>
      </w:r>
      <w:r w:rsidR="006B1264">
        <w:rPr>
          <w:lang w:val="nn-NO"/>
        </w:rPr>
        <w:t>å bestemme sjølv.</w:t>
      </w:r>
    </w:p>
    <w:p w:rsidR="00650938" w:rsidRPr="000D79A0" w:rsidRDefault="00650938" w:rsidP="00650938">
      <w:pPr>
        <w:rPr>
          <w:b/>
          <w:lang w:val="nn-NO"/>
        </w:rPr>
      </w:pPr>
      <w:r w:rsidRPr="000D79A0">
        <w:rPr>
          <w:lang w:val="nn-NO"/>
        </w:rPr>
        <w:t xml:space="preserve">Sjølv om retten til </w:t>
      </w:r>
      <w:r w:rsidR="0051558A">
        <w:rPr>
          <w:lang w:val="nn-NO"/>
        </w:rPr>
        <w:t>sjølvbestemt</w:t>
      </w:r>
      <w:r w:rsidRPr="000D79A0">
        <w:rPr>
          <w:lang w:val="nn-NO"/>
        </w:rPr>
        <w:t>/selektiv fosterreduksjon f</w:t>
      </w:r>
      <w:r>
        <w:rPr>
          <w:lang w:val="nn-NO"/>
        </w:rPr>
        <w:t>ørst blei rettsleg avklart ved l</w:t>
      </w:r>
      <w:r w:rsidRPr="000D79A0">
        <w:rPr>
          <w:lang w:val="nn-NO"/>
        </w:rPr>
        <w:t xml:space="preserve">ovavdelinga si fråsegn i 2016 og slik fosterreduksjon </w:t>
      </w:r>
      <w:r>
        <w:rPr>
          <w:lang w:val="nn-NO"/>
        </w:rPr>
        <w:t>berre</w:t>
      </w:r>
      <w:r w:rsidRPr="000D79A0">
        <w:rPr>
          <w:lang w:val="nn-NO"/>
        </w:rPr>
        <w:t xml:space="preserve"> har skjedd frå det tidspunktet og </w:t>
      </w:r>
      <w:r w:rsidR="0051558A">
        <w:rPr>
          <w:lang w:val="nn-NO"/>
        </w:rPr>
        <w:t>fra</w:t>
      </w:r>
      <w:r w:rsidRPr="000D79A0">
        <w:rPr>
          <w:lang w:val="nn-NO"/>
        </w:rPr>
        <w:t>m til i dag, så må den foreslåtte endringa sjåast på som ei innsnevring av kvinner sin rett til sjølvbestemt abort.</w:t>
      </w:r>
      <w:r>
        <w:rPr>
          <w:lang w:val="nn-NO"/>
        </w:rPr>
        <w:t xml:space="preserve"> </w:t>
      </w:r>
      <w:r w:rsidR="00EF527F">
        <w:rPr>
          <w:lang w:val="nn-NO"/>
        </w:rPr>
        <w:t>Å vedta ei slik innskrenk</w:t>
      </w:r>
      <w:r w:rsidRPr="000D79A0">
        <w:rPr>
          <w:lang w:val="nn-NO"/>
        </w:rPr>
        <w:t>ing kan dessut</w:t>
      </w:r>
      <w:r>
        <w:rPr>
          <w:lang w:val="nn-NO"/>
        </w:rPr>
        <w:t>a</w:t>
      </w:r>
      <w:r w:rsidRPr="000D79A0">
        <w:rPr>
          <w:lang w:val="nn-NO"/>
        </w:rPr>
        <w:t xml:space="preserve">n verke </w:t>
      </w:r>
      <w:r w:rsidR="00730161">
        <w:rPr>
          <w:lang w:val="nn-NO"/>
        </w:rPr>
        <w:t>veldig</w:t>
      </w:r>
      <w:r w:rsidRPr="000D79A0">
        <w:rPr>
          <w:lang w:val="nn-NO"/>
        </w:rPr>
        <w:t xml:space="preserve"> urimeleg for dei få kvinnene det gjeld. Det er ingen grunn til å anta at desse kvinnene ikkje har gjort sine val etter å ha tenkt grundig gjennom det, og ut frå forhold ved sin eigen situasjon som dei er nærmast til å vurdere, slik som ved sjølvbestemt abort elles.</w:t>
      </w:r>
    </w:p>
    <w:p w:rsidR="00650938" w:rsidRPr="0013333D" w:rsidRDefault="00650938" w:rsidP="00650938">
      <w:pPr>
        <w:rPr>
          <w:rFonts w:eastAsia="Calibri"/>
          <w:lang w:val="nn-NO"/>
        </w:rPr>
      </w:pPr>
    </w:p>
    <w:p w:rsidR="00650938" w:rsidRDefault="00650938" w:rsidP="00650938">
      <w:pPr>
        <w:rPr>
          <w:lang w:val="nn-NO"/>
        </w:rPr>
      </w:pPr>
      <w:r>
        <w:rPr>
          <w:b/>
          <w:lang w:val="nn-NO"/>
        </w:rPr>
        <w:t>U</w:t>
      </w:r>
      <w:r w:rsidRPr="001117B2">
        <w:rPr>
          <w:b/>
          <w:lang w:val="nn-NO"/>
        </w:rPr>
        <w:t>tvid</w:t>
      </w:r>
      <w:r>
        <w:rPr>
          <w:b/>
          <w:lang w:val="nn-NO"/>
        </w:rPr>
        <w:t>ing</w:t>
      </w:r>
      <w:r w:rsidRPr="001117B2">
        <w:rPr>
          <w:b/>
          <w:lang w:val="nn-NO"/>
        </w:rPr>
        <w:t xml:space="preserve"> av </w:t>
      </w:r>
      <w:r>
        <w:rPr>
          <w:b/>
          <w:lang w:val="nn-NO"/>
        </w:rPr>
        <w:t>retten til bruka</w:t>
      </w:r>
      <w:r w:rsidRPr="001117B2">
        <w:rPr>
          <w:b/>
          <w:lang w:val="nn-NO"/>
        </w:rPr>
        <w:t>rstyrt personl</w:t>
      </w:r>
      <w:r>
        <w:rPr>
          <w:b/>
          <w:lang w:val="nn-NO"/>
        </w:rPr>
        <w:t>e</w:t>
      </w:r>
      <w:r w:rsidRPr="001117B2">
        <w:rPr>
          <w:b/>
          <w:lang w:val="nn-NO"/>
        </w:rPr>
        <w:t>g assistanse for bestemte person</w:t>
      </w:r>
      <w:r>
        <w:rPr>
          <w:b/>
          <w:lang w:val="nn-NO"/>
        </w:rPr>
        <w:t>a</w:t>
      </w:r>
      <w:r w:rsidRPr="001117B2">
        <w:rPr>
          <w:b/>
          <w:lang w:val="nn-NO"/>
        </w:rPr>
        <w:t>r over 67 år</w:t>
      </w:r>
      <w:r>
        <w:rPr>
          <w:b/>
          <w:lang w:val="nn-NO"/>
        </w:rPr>
        <w:t xml:space="preserve"> </w:t>
      </w:r>
    </w:p>
    <w:p w:rsidR="00FC73F3" w:rsidRDefault="00650938" w:rsidP="00650938">
      <w:pPr>
        <w:pStyle w:val="Ingenmellomrom"/>
        <w:rPr>
          <w:rFonts w:ascii="Times New Roman" w:eastAsia="Calibri" w:hAnsi="Times New Roman" w:cs="Times New Roman"/>
          <w:sz w:val="24"/>
          <w:szCs w:val="24"/>
          <w:lang w:val="nn-NO" w:eastAsia="nb-NO"/>
        </w:rPr>
      </w:pPr>
      <w:r w:rsidRPr="0013333D">
        <w:rPr>
          <w:rFonts w:ascii="Times New Roman" w:eastAsia="Calibri" w:hAnsi="Times New Roman" w:cs="Times New Roman"/>
          <w:sz w:val="24"/>
          <w:szCs w:val="24"/>
          <w:lang w:val="nn-NO" w:eastAsia="nb-NO"/>
        </w:rPr>
        <w:t>I høyringssvaret skreiv ombodet at ombodet meiner at personar som har ein BPA-ordning skal kunne behalde denne</w:t>
      </w:r>
      <w:r>
        <w:rPr>
          <w:rFonts w:ascii="Times New Roman" w:eastAsia="Calibri" w:hAnsi="Times New Roman" w:cs="Times New Roman"/>
          <w:sz w:val="24"/>
          <w:szCs w:val="24"/>
          <w:lang w:val="nn-NO" w:eastAsia="nb-NO"/>
        </w:rPr>
        <w:t xml:space="preserve"> </w:t>
      </w:r>
      <w:r w:rsidRPr="0013333D">
        <w:rPr>
          <w:rFonts w:ascii="Times New Roman" w:eastAsia="Calibri" w:hAnsi="Times New Roman" w:cs="Times New Roman"/>
          <w:sz w:val="24"/>
          <w:szCs w:val="24"/>
          <w:lang w:val="nn-NO" w:eastAsia="nb-NO"/>
        </w:rPr>
        <w:t xml:space="preserve">etter at dei fyller 67 år. </w:t>
      </w:r>
      <w:r w:rsidR="00FC73F3" w:rsidRPr="0013333D">
        <w:rPr>
          <w:rFonts w:ascii="Times New Roman" w:eastAsia="Calibri" w:hAnsi="Times New Roman" w:cs="Times New Roman"/>
          <w:sz w:val="24"/>
          <w:szCs w:val="24"/>
          <w:lang w:val="nn-NO" w:eastAsia="nb-NO"/>
        </w:rPr>
        <w:t xml:space="preserve">BPA er </w:t>
      </w:r>
      <w:r w:rsidR="00EF527F">
        <w:rPr>
          <w:rFonts w:ascii="Times New Roman" w:eastAsia="Calibri" w:hAnsi="Times New Roman" w:cs="Times New Roman"/>
          <w:sz w:val="24"/>
          <w:szCs w:val="24"/>
          <w:lang w:val="nn-NO" w:eastAsia="nb-NO"/>
        </w:rPr>
        <w:t>eit viktig likestillingsverktøy</w:t>
      </w:r>
      <w:r w:rsidR="00FC73F3">
        <w:rPr>
          <w:rFonts w:ascii="Times New Roman" w:eastAsia="Calibri" w:hAnsi="Times New Roman" w:cs="Times New Roman"/>
          <w:sz w:val="24"/>
          <w:szCs w:val="24"/>
          <w:lang w:val="nn-NO" w:eastAsia="nb-NO"/>
        </w:rPr>
        <w:t>, og o</w:t>
      </w:r>
      <w:r w:rsidRPr="0013333D">
        <w:rPr>
          <w:rFonts w:ascii="Times New Roman" w:eastAsia="Calibri" w:hAnsi="Times New Roman" w:cs="Times New Roman"/>
          <w:sz w:val="24"/>
          <w:szCs w:val="24"/>
          <w:lang w:val="nn-NO" w:eastAsia="nb-NO"/>
        </w:rPr>
        <w:t>mbodet meiner at personar som får behov for assistanse etter at dei fyller 67 år bør ha rett til å få slike tenester organisert som brukarstyrt personleg assistanse</w:t>
      </w:r>
      <w:r w:rsidR="00FC73F3">
        <w:rPr>
          <w:rFonts w:ascii="Times New Roman" w:eastAsia="Calibri" w:hAnsi="Times New Roman" w:cs="Times New Roman"/>
          <w:sz w:val="24"/>
          <w:szCs w:val="24"/>
          <w:lang w:val="nn-NO" w:eastAsia="nb-NO"/>
        </w:rPr>
        <w:t>.</w:t>
      </w:r>
    </w:p>
    <w:p w:rsidR="00356A25" w:rsidRPr="00B83B47" w:rsidRDefault="00356A25" w:rsidP="00650938">
      <w:pPr>
        <w:rPr>
          <w:b/>
          <w:lang w:val="nn-NO"/>
        </w:rPr>
      </w:pPr>
    </w:p>
    <w:p w:rsidR="00650938" w:rsidRDefault="00650938" w:rsidP="00650938">
      <w:pPr>
        <w:rPr>
          <w:b/>
          <w:lang w:val="nn-NO"/>
        </w:rPr>
      </w:pPr>
      <w:r>
        <w:rPr>
          <w:b/>
          <w:lang w:val="nn-NO"/>
        </w:rPr>
        <w:t>Tvangsbegrens</w:t>
      </w:r>
      <w:r w:rsidR="00C50C14">
        <w:rPr>
          <w:b/>
          <w:lang w:val="nn-NO"/>
        </w:rPr>
        <w:t>n</w:t>
      </w:r>
      <w:r>
        <w:rPr>
          <w:b/>
          <w:lang w:val="nn-NO"/>
        </w:rPr>
        <w:t>ingslova</w:t>
      </w:r>
    </w:p>
    <w:p w:rsidR="00650938" w:rsidRDefault="00650938" w:rsidP="00650938">
      <w:pPr>
        <w:shd w:val="clear" w:color="auto" w:fill="FFFFFF"/>
        <w:spacing w:before="0" w:after="188"/>
        <w:rPr>
          <w:lang w:val="nn-NO"/>
        </w:rPr>
      </w:pPr>
      <w:r w:rsidRPr="005D79A4">
        <w:rPr>
          <w:lang w:val="nn-NO"/>
        </w:rPr>
        <w:t>Ombodet leverte ei omfattande høyringsfråsegn til NOU 2019: 14 Tvangbegrens</w:t>
      </w:r>
      <w:r>
        <w:rPr>
          <w:lang w:val="nn-NO"/>
        </w:rPr>
        <w:t>n</w:t>
      </w:r>
      <w:r w:rsidRPr="005D79A4">
        <w:rPr>
          <w:lang w:val="nn-NO"/>
        </w:rPr>
        <w:t>ingslov</w:t>
      </w:r>
      <w:r>
        <w:rPr>
          <w:lang w:val="nn-NO"/>
        </w:rPr>
        <w:t xml:space="preserve">a.  </w:t>
      </w:r>
      <w:r w:rsidR="006D5F26">
        <w:rPr>
          <w:lang w:val="nn-NO"/>
        </w:rPr>
        <w:t>Når det gjeld tilhøvet</w:t>
      </w:r>
      <w:r w:rsidRPr="005D79A4">
        <w:rPr>
          <w:lang w:val="nn-NO"/>
        </w:rPr>
        <w:t xml:space="preserve"> til CRPD, meiner ombodet at utkast til ny lov</w:t>
      </w:r>
      <w:r>
        <w:rPr>
          <w:lang w:val="nn-NO"/>
        </w:rPr>
        <w:t xml:space="preserve"> </w:t>
      </w:r>
      <w:r w:rsidRPr="005D79A4">
        <w:rPr>
          <w:lang w:val="nn-NO"/>
        </w:rPr>
        <w:t xml:space="preserve">inneheld fleire forslag som er egna til å styrke </w:t>
      </w:r>
      <w:r w:rsidR="0088733D">
        <w:rPr>
          <w:lang w:val="nn-NO"/>
        </w:rPr>
        <w:t xml:space="preserve">avgjerda om å bestemme sjølv </w:t>
      </w:r>
      <w:r w:rsidRPr="005D79A4">
        <w:rPr>
          <w:lang w:val="nn-NO"/>
        </w:rPr>
        <w:t>og tilgangen til likeverdig helsehjelp for personar med nedsett funksjonsevne</w:t>
      </w:r>
      <w:r>
        <w:rPr>
          <w:lang w:val="nn-NO"/>
        </w:rPr>
        <w:t xml:space="preserve">. Dette er </w:t>
      </w:r>
      <w:r w:rsidRPr="005D79A4">
        <w:rPr>
          <w:lang w:val="nn-NO"/>
        </w:rPr>
        <w:t>i samsvar med CRPD. Likevel reiser særleg forslaga til regulering av tvangsmedisinering og elektrosjokk utan fritt og informert samtykk</w:t>
      </w:r>
      <w:r w:rsidR="003A6870">
        <w:rPr>
          <w:lang w:val="nn-NO"/>
        </w:rPr>
        <w:t>j</w:t>
      </w:r>
      <w:r w:rsidRPr="005D79A4">
        <w:rPr>
          <w:lang w:val="nn-NO"/>
        </w:rPr>
        <w:t>e vanskelege menneskerettsspørsmål som vi ikkje meiner fle</w:t>
      </w:r>
      <w:r>
        <w:rPr>
          <w:lang w:val="nn-NO"/>
        </w:rPr>
        <w:t>i</w:t>
      </w:r>
      <w:r w:rsidRPr="005D79A4">
        <w:rPr>
          <w:lang w:val="nn-NO"/>
        </w:rPr>
        <w:t>rtalet sine forslag svarar</w:t>
      </w:r>
      <w:r w:rsidRPr="0013333D">
        <w:rPr>
          <w:rFonts w:ascii="Roboto" w:eastAsia="Calibri" w:hAnsi="Roboto"/>
          <w:color w:val="333333"/>
          <w:sz w:val="27"/>
          <w:szCs w:val="27"/>
          <w:lang w:val="nn-NO"/>
        </w:rPr>
        <w:t xml:space="preserve"> </w:t>
      </w:r>
      <w:r w:rsidRPr="005D79A4">
        <w:rPr>
          <w:lang w:val="nn-NO"/>
        </w:rPr>
        <w:t xml:space="preserve">godt på. Ombodet </w:t>
      </w:r>
      <w:r w:rsidR="003A6870">
        <w:rPr>
          <w:lang w:val="nn-NO"/>
        </w:rPr>
        <w:t>fra</w:t>
      </w:r>
      <w:r w:rsidRPr="005D79A4">
        <w:rPr>
          <w:lang w:val="nn-NO"/>
        </w:rPr>
        <w:t>mheva også behovet for ytt</w:t>
      </w:r>
      <w:r>
        <w:rPr>
          <w:lang w:val="nn-NO"/>
        </w:rPr>
        <w:t>e</w:t>
      </w:r>
      <w:r w:rsidRPr="005D79A4">
        <w:rPr>
          <w:lang w:val="nn-NO"/>
        </w:rPr>
        <w:t>rlegare klargjering av rett og plikt til nødvendige tiltak for å unngå tvang, behov for sikring av ressursar til opplæring og til n</w:t>
      </w:r>
      <w:r w:rsidR="003A6870">
        <w:rPr>
          <w:lang w:val="nn-NO"/>
        </w:rPr>
        <w:t>ye frivilli</w:t>
      </w:r>
      <w:r w:rsidRPr="005D79A4">
        <w:rPr>
          <w:lang w:val="nn-NO"/>
        </w:rPr>
        <w:t xml:space="preserve">ge </w:t>
      </w:r>
      <w:r w:rsidRPr="005D79A4">
        <w:rPr>
          <w:lang w:val="nn-NO"/>
        </w:rPr>
        <w:lastRenderedPageBreak/>
        <w:t xml:space="preserve">behandlingstilbod, og at det er behov for nytt lovutval for å utvikle og integrere avgjerdsstøttemodell i felles lov om tvangsavgrensing. </w:t>
      </w:r>
    </w:p>
    <w:p w:rsidR="00650938" w:rsidRDefault="00650938" w:rsidP="00750C9E">
      <w:pPr>
        <w:shd w:val="clear" w:color="auto" w:fill="FFFFFF"/>
        <w:spacing w:before="0" w:after="188"/>
        <w:rPr>
          <w:b/>
          <w:lang w:val="nn-NO"/>
        </w:rPr>
      </w:pPr>
      <w:r w:rsidRPr="005D79A4">
        <w:rPr>
          <w:lang w:val="nn-NO"/>
        </w:rPr>
        <w:t xml:space="preserve">Ombodet </w:t>
      </w:r>
      <w:r w:rsidR="00E41EE6">
        <w:rPr>
          <w:lang w:val="nn-NO"/>
        </w:rPr>
        <w:t>fra</w:t>
      </w:r>
      <w:r w:rsidRPr="005D79A4">
        <w:rPr>
          <w:lang w:val="nn-NO"/>
        </w:rPr>
        <w:t xml:space="preserve">mheva at nye modellar for avgjerdsstøtte, i tråd med det som utvalet foreslår må utviklast, utprøvast og integrerast i tvangsregelverket. Dette vil </w:t>
      </w:r>
      <w:r w:rsidR="00E57AF3">
        <w:rPr>
          <w:lang w:val="nn-NO"/>
        </w:rPr>
        <w:t>vere</w:t>
      </w:r>
      <w:r w:rsidRPr="005D79A4">
        <w:rPr>
          <w:lang w:val="nn-NO"/>
        </w:rPr>
        <w:t xml:space="preserve"> naudsynt for at retten til </w:t>
      </w:r>
      <w:r w:rsidR="00E41EE6">
        <w:rPr>
          <w:lang w:val="nn-NO"/>
        </w:rPr>
        <w:t>å bestemme sjølv</w:t>
      </w:r>
      <w:r w:rsidRPr="005D79A4">
        <w:rPr>
          <w:lang w:val="nn-NO"/>
        </w:rPr>
        <w:t xml:space="preserve"> og retten til helsehjelp basert på fritt og informert samtykke skal bli sikra i praksis – også for personar med psykososiale og kognitive funksjonsnedsettingar. Ombodet viste til at staten har ei plikt, </w:t>
      </w:r>
      <w:r>
        <w:rPr>
          <w:lang w:val="nn-NO"/>
        </w:rPr>
        <w:t>mellom</w:t>
      </w:r>
      <w:r w:rsidRPr="005D79A4">
        <w:rPr>
          <w:lang w:val="nn-NO"/>
        </w:rPr>
        <w:t xml:space="preserve"> anna etter CRPD art</w:t>
      </w:r>
      <w:r w:rsidR="00477933">
        <w:rPr>
          <w:lang w:val="nn-NO"/>
        </w:rPr>
        <w:t>ikkje</w:t>
      </w:r>
      <w:r w:rsidRPr="005D79A4">
        <w:rPr>
          <w:lang w:val="nn-NO"/>
        </w:rPr>
        <w:t xml:space="preserve">l 12 til å leggje best mogeleg til rette for at personar som det er aktuelt å treffe tvangsvedtak for, får utnytta sitt potensiale til </w:t>
      </w:r>
      <w:r w:rsidR="00E41EE6">
        <w:rPr>
          <w:lang w:val="nn-NO"/>
        </w:rPr>
        <w:t>å bestemme sjølve</w:t>
      </w:r>
      <w:r w:rsidRPr="005D79A4">
        <w:rPr>
          <w:lang w:val="nn-NO"/>
        </w:rPr>
        <w:t>. Ombodet tilrådde derfor at Helsedeparte</w:t>
      </w:r>
      <w:r w:rsidR="009B4FB6">
        <w:rPr>
          <w:lang w:val="nn-NO"/>
        </w:rPr>
        <w:t>me</w:t>
      </w:r>
      <w:r w:rsidR="00E57AF3">
        <w:rPr>
          <w:lang w:val="nn-NO"/>
        </w:rPr>
        <w:t>nt</w:t>
      </w:r>
      <w:r w:rsidRPr="005D79A4">
        <w:rPr>
          <w:lang w:val="nn-NO"/>
        </w:rPr>
        <w:t>et set ned eit lovutval som får som mandat å utvikle nye modellar for avgjerdsstøtte på helseretten sitt område. Vid</w:t>
      </w:r>
      <w:r>
        <w:rPr>
          <w:lang w:val="nn-NO"/>
        </w:rPr>
        <w:t>a</w:t>
      </w:r>
      <w:r w:rsidRPr="005D79A4">
        <w:rPr>
          <w:lang w:val="nn-NO"/>
        </w:rPr>
        <w:t>re tilrådde ombodet at det i samarbeid med Justisdeparte</w:t>
      </w:r>
      <w:r w:rsidR="00E57AF3">
        <w:rPr>
          <w:lang w:val="nn-NO"/>
        </w:rPr>
        <w:t>meint</w:t>
      </w:r>
      <w:r w:rsidRPr="005D79A4">
        <w:rPr>
          <w:lang w:val="nn-NO"/>
        </w:rPr>
        <w:t>et blir vurdert om det er tenleg å gje eit slikt lovutval eit breiare m</w:t>
      </w:r>
      <w:r w:rsidR="0089656A">
        <w:rPr>
          <w:lang w:val="nn-NO"/>
        </w:rPr>
        <w:t>andat der også verjemålslovgjevin</w:t>
      </w:r>
      <w:r w:rsidRPr="005D79A4">
        <w:rPr>
          <w:lang w:val="nn-NO"/>
        </w:rPr>
        <w:t>ga inngår.</w:t>
      </w:r>
    </w:p>
    <w:p w:rsidR="00650938" w:rsidRDefault="00650938" w:rsidP="00650938">
      <w:pPr>
        <w:rPr>
          <w:b/>
          <w:lang w:val="nn-NO"/>
        </w:rPr>
      </w:pPr>
    </w:p>
    <w:p w:rsidR="00650938" w:rsidRPr="008064DB" w:rsidRDefault="00650938" w:rsidP="00650938">
      <w:pPr>
        <w:rPr>
          <w:b/>
          <w:lang w:val="nn-NO"/>
        </w:rPr>
      </w:pPr>
      <w:r w:rsidRPr="008064DB">
        <w:rPr>
          <w:b/>
          <w:lang w:val="nn-NO"/>
        </w:rPr>
        <w:t xml:space="preserve">Endringar i forskrift til statsansatteloven </w:t>
      </w:r>
    </w:p>
    <w:p w:rsidR="00650938" w:rsidRPr="0013333D" w:rsidRDefault="00650938" w:rsidP="00650938">
      <w:pPr>
        <w:rPr>
          <w:rFonts w:eastAsia="Calibri"/>
          <w:lang w:val="nn-NO"/>
        </w:rPr>
      </w:pPr>
      <w:r w:rsidRPr="0013333D">
        <w:rPr>
          <w:rFonts w:eastAsia="Calibri"/>
          <w:lang w:val="nn-NO"/>
        </w:rPr>
        <w:t>Ombodet støtta forslaga knytt til begrepet h</w:t>
      </w:r>
      <w:r>
        <w:rPr>
          <w:rFonts w:eastAsia="Calibri"/>
          <w:lang w:val="nn-NO"/>
        </w:rPr>
        <w:t>o</w:t>
      </w:r>
      <w:r w:rsidRPr="0013333D">
        <w:rPr>
          <w:rFonts w:eastAsia="Calibri"/>
          <w:lang w:val="nn-NO"/>
        </w:rPr>
        <w:t>l i CVen, innkalling til intervju og moderat kvotering ved tilsetting og ein utvida og styrk</w:t>
      </w:r>
      <w:r w:rsidR="00952D52">
        <w:rPr>
          <w:rFonts w:eastAsia="Calibri"/>
          <w:lang w:val="nn-NO"/>
        </w:rPr>
        <w:t>j</w:t>
      </w:r>
      <w:r w:rsidRPr="0013333D">
        <w:rPr>
          <w:rFonts w:eastAsia="Calibri"/>
          <w:lang w:val="nn-NO"/>
        </w:rPr>
        <w:t>a traineeordning i staten. Utover dette ga</w:t>
      </w:r>
      <w:r w:rsidR="008F6672">
        <w:rPr>
          <w:rFonts w:eastAsia="Calibri"/>
          <w:lang w:val="nn-NO"/>
        </w:rPr>
        <w:t>v</w:t>
      </w:r>
      <w:r w:rsidRPr="0013333D">
        <w:rPr>
          <w:rFonts w:eastAsia="Calibri"/>
          <w:lang w:val="nn-NO"/>
        </w:rPr>
        <w:t xml:space="preserve"> ombodet generelt uttrykk for at vi meiner det er bra at det blir satt i gang tiltak for å fleire personar med nedsett funksjonsevne og h</w:t>
      </w:r>
      <w:r>
        <w:rPr>
          <w:rFonts w:eastAsia="Calibri"/>
          <w:lang w:val="nn-NO"/>
        </w:rPr>
        <w:t>o</w:t>
      </w:r>
      <w:r w:rsidRPr="0013333D">
        <w:rPr>
          <w:rFonts w:eastAsia="Calibri"/>
          <w:lang w:val="nn-NO"/>
        </w:rPr>
        <w:t>l i CVen i arbeid. Vi meine</w:t>
      </w:r>
      <w:r>
        <w:rPr>
          <w:rFonts w:eastAsia="Calibri"/>
          <w:lang w:val="nn-NO"/>
        </w:rPr>
        <w:t>r</w:t>
      </w:r>
      <w:r w:rsidRPr="0013333D">
        <w:rPr>
          <w:rFonts w:eastAsia="Calibri"/>
          <w:lang w:val="nn-NO"/>
        </w:rPr>
        <w:t xml:space="preserve"> likevel at det er uheldig at begrepet «dugnad» blir brukt i ei slik samanheng, og at det heller burde vore fokus på ei meir langsiktig tilnærming.  </w:t>
      </w:r>
    </w:p>
    <w:p w:rsidR="00650938" w:rsidRPr="0013333D" w:rsidRDefault="00650938" w:rsidP="00650938">
      <w:pPr>
        <w:rPr>
          <w:rFonts w:eastAsia="Calibri"/>
          <w:lang w:val="nn-NO"/>
        </w:rPr>
      </w:pPr>
      <w:r>
        <w:rPr>
          <w:rFonts w:eastAsia="Calibri"/>
          <w:lang w:val="nn-NO"/>
        </w:rPr>
        <w:t xml:space="preserve">Ombodet </w:t>
      </w:r>
      <w:r w:rsidRPr="0013333D">
        <w:rPr>
          <w:rFonts w:eastAsia="Calibri"/>
          <w:lang w:val="nn-NO"/>
        </w:rPr>
        <w:t>meiner det er mykje som kan gjerast med tanke på profesjonalisering av rekrutteringsprosessar, også i statlege verksemder</w:t>
      </w:r>
      <w:r>
        <w:rPr>
          <w:rFonts w:eastAsia="Calibri"/>
          <w:lang w:val="nn-NO"/>
        </w:rPr>
        <w:t>. Dette</w:t>
      </w:r>
      <w:r w:rsidRPr="0013333D">
        <w:rPr>
          <w:rFonts w:eastAsia="Calibri"/>
          <w:lang w:val="nn-NO"/>
        </w:rPr>
        <w:t xml:space="preserve"> kan bidra til at fleire kval</w:t>
      </w:r>
      <w:r w:rsidR="000A35FE">
        <w:rPr>
          <w:rFonts w:eastAsia="Calibri"/>
          <w:lang w:val="nn-NO"/>
        </w:rPr>
        <w:t>ifiserte personar kjem ut i arbeid</w:t>
      </w:r>
      <w:r w:rsidRPr="0013333D">
        <w:rPr>
          <w:rFonts w:eastAsia="Calibri"/>
          <w:lang w:val="nn-NO"/>
        </w:rPr>
        <w:t>. Mange godt kvalifiserte søkjarar med nedsett funksjonsevne opplever at fokuset i rekrutteringsprosessar ikkje er på kvalifikasjonane deira, men på at det som er annleis med dei blir ei ulempe. Dersom rekrutteringsprosessar kan fokusere reint på kvalifikasjonar, vil det etter ombodets syn føre til at fleire som burde vore tils</w:t>
      </w:r>
      <w:r>
        <w:rPr>
          <w:rFonts w:eastAsia="Calibri"/>
          <w:lang w:val="nn-NO"/>
        </w:rPr>
        <w:t>e</w:t>
      </w:r>
      <w:r w:rsidRPr="0013333D">
        <w:rPr>
          <w:rFonts w:eastAsia="Calibri"/>
          <w:lang w:val="nn-NO"/>
        </w:rPr>
        <w:t>tt gjennom o</w:t>
      </w:r>
      <w:r w:rsidR="000A35FE">
        <w:rPr>
          <w:rFonts w:eastAsia="Calibri"/>
          <w:lang w:val="nn-NO"/>
        </w:rPr>
        <w:t>rdinære prosessar kjem ut i arbeid</w:t>
      </w:r>
      <w:r w:rsidRPr="0013333D">
        <w:rPr>
          <w:rFonts w:eastAsia="Calibri"/>
          <w:lang w:val="nn-NO"/>
        </w:rPr>
        <w:t>. Då kan ein samstundes sette inn særtiltak for dei gruppene som faktisk har behov for det.</w:t>
      </w:r>
    </w:p>
    <w:p w:rsidR="00650938" w:rsidRPr="0013333D" w:rsidRDefault="00650938" w:rsidP="00650938">
      <w:pPr>
        <w:rPr>
          <w:rFonts w:ascii="Calibri" w:hAnsi="Calibri" w:cs="Calibri"/>
          <w:sz w:val="22"/>
          <w:szCs w:val="22"/>
          <w:lang w:val="nn-NO" w:eastAsia="en-US"/>
        </w:rPr>
      </w:pPr>
    </w:p>
    <w:p w:rsidR="00650938" w:rsidRPr="00C93C84" w:rsidRDefault="00650938" w:rsidP="00650938">
      <w:pPr>
        <w:rPr>
          <w:b/>
          <w:lang w:val="nn-NO"/>
        </w:rPr>
      </w:pPr>
      <w:r w:rsidRPr="00C93C84">
        <w:rPr>
          <w:b/>
          <w:lang w:val="nn-NO"/>
        </w:rPr>
        <w:t>Endringa</w:t>
      </w:r>
      <w:r>
        <w:rPr>
          <w:b/>
          <w:lang w:val="nn-NO"/>
        </w:rPr>
        <w:t>r i verjemålslova</w:t>
      </w:r>
      <w:r w:rsidRPr="00C93C84">
        <w:rPr>
          <w:b/>
          <w:lang w:val="nn-NO"/>
        </w:rPr>
        <w:t xml:space="preserve"> </w:t>
      </w:r>
    </w:p>
    <w:p w:rsidR="00650938" w:rsidRPr="0013333D" w:rsidRDefault="00650938" w:rsidP="00650938">
      <w:pPr>
        <w:rPr>
          <w:rFonts w:eastAsia="Calibri"/>
          <w:lang w:val="nn-NO"/>
        </w:rPr>
      </w:pPr>
      <w:r w:rsidRPr="0013333D">
        <w:rPr>
          <w:rFonts w:eastAsia="Calibri"/>
          <w:lang w:val="nn-NO"/>
        </w:rPr>
        <w:t>Justisdeparte</w:t>
      </w:r>
      <w:r w:rsidR="00E57AF3">
        <w:rPr>
          <w:rFonts w:eastAsia="Calibri"/>
          <w:lang w:val="nn-NO"/>
        </w:rPr>
        <w:t>meint</w:t>
      </w:r>
      <w:r w:rsidRPr="0013333D">
        <w:rPr>
          <w:rFonts w:eastAsia="Calibri"/>
          <w:lang w:val="nn-NO"/>
        </w:rPr>
        <w:t xml:space="preserve">et </w:t>
      </w:r>
      <w:r>
        <w:rPr>
          <w:rFonts w:eastAsia="Calibri"/>
          <w:lang w:val="nn-NO"/>
        </w:rPr>
        <w:t xml:space="preserve">foreslår </w:t>
      </w:r>
      <w:r w:rsidR="000D3239">
        <w:rPr>
          <w:rFonts w:eastAsia="Calibri"/>
          <w:lang w:val="nn-NO"/>
        </w:rPr>
        <w:t>endringa</w:t>
      </w:r>
      <w:r w:rsidRPr="0013333D">
        <w:rPr>
          <w:rFonts w:eastAsia="Calibri"/>
          <w:lang w:val="nn-NO"/>
        </w:rPr>
        <w:t>r i fle</w:t>
      </w:r>
      <w:r>
        <w:rPr>
          <w:rFonts w:eastAsia="Calibri"/>
          <w:lang w:val="nn-NO"/>
        </w:rPr>
        <w:t>i</w:t>
      </w:r>
      <w:r w:rsidR="000D3239">
        <w:rPr>
          <w:rFonts w:eastAsia="Calibri"/>
          <w:lang w:val="nn-NO"/>
        </w:rPr>
        <w:t>re føresegn</w:t>
      </w:r>
      <w:r w:rsidRPr="0013333D">
        <w:rPr>
          <w:rFonts w:eastAsia="Calibri"/>
          <w:lang w:val="nn-NO"/>
        </w:rPr>
        <w:t xml:space="preserve"> i verjemålslova. Endringane har bakgrunn i </w:t>
      </w:r>
      <w:r w:rsidR="004E5574">
        <w:rPr>
          <w:rFonts w:eastAsia="Calibri"/>
          <w:lang w:val="nn-NO"/>
        </w:rPr>
        <w:t>innspel</w:t>
      </w:r>
      <w:r w:rsidRPr="0013333D">
        <w:rPr>
          <w:rFonts w:eastAsia="Calibri"/>
          <w:lang w:val="nn-NO"/>
        </w:rPr>
        <w:t xml:space="preserve"> til departe</w:t>
      </w:r>
      <w:r w:rsidR="000D3239">
        <w:rPr>
          <w:rFonts w:eastAsia="Calibri"/>
          <w:lang w:val="nn-NO"/>
        </w:rPr>
        <w:t>me</w:t>
      </w:r>
      <w:r w:rsidR="00E57AF3">
        <w:rPr>
          <w:rFonts w:eastAsia="Calibri"/>
          <w:lang w:val="nn-NO"/>
        </w:rPr>
        <w:t>nt</w:t>
      </w:r>
      <w:r w:rsidRPr="0013333D">
        <w:rPr>
          <w:rFonts w:eastAsia="Calibri"/>
          <w:lang w:val="nn-NO"/>
        </w:rPr>
        <w:t>et om endringsbehov for å klargjere at verjemål</w:t>
      </w:r>
      <w:r>
        <w:rPr>
          <w:rFonts w:eastAsia="Calibri"/>
          <w:lang w:val="nn-NO"/>
        </w:rPr>
        <w:t xml:space="preserve"> skal </w:t>
      </w:r>
      <w:r w:rsidR="00E57AF3">
        <w:rPr>
          <w:rFonts w:eastAsia="Calibri"/>
          <w:lang w:val="nn-NO"/>
        </w:rPr>
        <w:t>vere</w:t>
      </w:r>
      <w:r>
        <w:rPr>
          <w:rFonts w:eastAsia="Calibri"/>
          <w:lang w:val="nn-NO"/>
        </w:rPr>
        <w:t xml:space="preserve"> frivillig</w:t>
      </w:r>
      <w:r w:rsidRPr="0013333D">
        <w:rPr>
          <w:rFonts w:eastAsia="Calibri"/>
          <w:lang w:val="nn-NO"/>
        </w:rPr>
        <w:t xml:space="preserve"> i alle dei tilfelle </w:t>
      </w:r>
      <w:r>
        <w:rPr>
          <w:rFonts w:eastAsia="Calibri"/>
          <w:lang w:val="nn-NO"/>
        </w:rPr>
        <w:t>k</w:t>
      </w:r>
      <w:r w:rsidRPr="0013333D">
        <w:rPr>
          <w:rFonts w:eastAsia="Calibri"/>
          <w:lang w:val="nn-NO"/>
        </w:rPr>
        <w:t xml:space="preserve">or rettsleg handleevne ikkje er fråteke ved dom. Forslaga gjeld blant anna verjemålsloven § 20 </w:t>
      </w:r>
      <w:r w:rsidR="00E57AF3">
        <w:rPr>
          <w:rFonts w:eastAsia="Calibri"/>
          <w:lang w:val="nn-NO"/>
        </w:rPr>
        <w:t>anna</w:t>
      </w:r>
      <w:r w:rsidRPr="0013333D">
        <w:rPr>
          <w:rFonts w:eastAsia="Calibri"/>
          <w:lang w:val="nn-NO"/>
        </w:rPr>
        <w:t xml:space="preserve"> ledd og § 33 </w:t>
      </w:r>
      <w:r w:rsidR="00E57AF3">
        <w:rPr>
          <w:rFonts w:eastAsia="Calibri"/>
          <w:lang w:val="nn-NO"/>
        </w:rPr>
        <w:t>anna</w:t>
      </w:r>
      <w:r w:rsidR="00221F7A">
        <w:rPr>
          <w:rFonts w:eastAsia="Calibri"/>
          <w:lang w:val="nn-NO"/>
        </w:rPr>
        <w:t xml:space="preserve"> ledd om retten til å </w:t>
      </w:r>
      <w:r w:rsidR="00A73172">
        <w:rPr>
          <w:rFonts w:eastAsia="Calibri"/>
          <w:lang w:val="nn-NO"/>
        </w:rPr>
        <w:t>sjølvavgjersle</w:t>
      </w:r>
      <w:r w:rsidRPr="0013333D">
        <w:rPr>
          <w:rFonts w:eastAsia="Calibri"/>
          <w:lang w:val="nn-NO"/>
        </w:rPr>
        <w:t xml:space="preserve"> for personar utan samtykkekompetanse, samt § 59 om plikta ti</w:t>
      </w:r>
      <w:r>
        <w:rPr>
          <w:rFonts w:eastAsia="Calibri"/>
          <w:lang w:val="nn-NO"/>
        </w:rPr>
        <w:t>l å gjennomføre samtale med perso</w:t>
      </w:r>
      <w:r w:rsidRPr="0013333D">
        <w:rPr>
          <w:rFonts w:eastAsia="Calibri"/>
          <w:lang w:val="nn-NO"/>
        </w:rPr>
        <w:t>nen det er aktuelt å opprett</w:t>
      </w:r>
      <w:r>
        <w:rPr>
          <w:rFonts w:eastAsia="Calibri"/>
          <w:lang w:val="nn-NO"/>
        </w:rPr>
        <w:t>e</w:t>
      </w:r>
      <w:r w:rsidRPr="0013333D">
        <w:rPr>
          <w:rFonts w:eastAsia="Calibri"/>
          <w:lang w:val="nn-NO"/>
        </w:rPr>
        <w:t xml:space="preserve"> verjemål for. </w:t>
      </w:r>
    </w:p>
    <w:p w:rsidR="00650938" w:rsidRPr="00AE02D3" w:rsidRDefault="00650938" w:rsidP="00650938">
      <w:pPr>
        <w:rPr>
          <w:rFonts w:eastAsia="Calibri"/>
        </w:rPr>
      </w:pPr>
      <w:r w:rsidRPr="0013333D">
        <w:rPr>
          <w:rFonts w:eastAsia="Calibri"/>
          <w:lang w:val="nn-NO"/>
        </w:rPr>
        <w:t>Omb</w:t>
      </w:r>
      <w:r>
        <w:rPr>
          <w:rFonts w:eastAsia="Calibri"/>
          <w:lang w:val="nn-NO"/>
        </w:rPr>
        <w:t>o</w:t>
      </w:r>
      <w:r w:rsidRPr="0013333D">
        <w:rPr>
          <w:rFonts w:eastAsia="Calibri"/>
          <w:lang w:val="nn-NO"/>
        </w:rPr>
        <w:t xml:space="preserve">det </w:t>
      </w:r>
      <w:r>
        <w:rPr>
          <w:rFonts w:eastAsia="Calibri"/>
          <w:lang w:val="nn-NO"/>
        </w:rPr>
        <w:t>hadde ei</w:t>
      </w:r>
      <w:r w:rsidR="00A10F98">
        <w:rPr>
          <w:rFonts w:eastAsia="Calibri"/>
          <w:lang w:val="nn-NO"/>
        </w:rPr>
        <w:t>t</w:t>
      </w:r>
      <w:r>
        <w:rPr>
          <w:rFonts w:eastAsia="Calibri"/>
          <w:lang w:val="nn-NO"/>
        </w:rPr>
        <w:t xml:space="preserve"> møte med daværande justisminister Tor M</w:t>
      </w:r>
      <w:r w:rsidR="00A10F98">
        <w:rPr>
          <w:rFonts w:eastAsia="Calibri"/>
          <w:lang w:val="nn-NO"/>
        </w:rPr>
        <w:t>ikk</w:t>
      </w:r>
      <w:r w:rsidR="00477933">
        <w:rPr>
          <w:rFonts w:eastAsia="Calibri"/>
          <w:lang w:val="nn-NO"/>
        </w:rPr>
        <w:t>e</w:t>
      </w:r>
      <w:r>
        <w:rPr>
          <w:rFonts w:eastAsia="Calibri"/>
          <w:lang w:val="nn-NO"/>
        </w:rPr>
        <w:t xml:space="preserve">l Wara i samband med vårt </w:t>
      </w:r>
      <w:r w:rsidRPr="0013333D">
        <w:rPr>
          <w:rFonts w:eastAsia="Calibri"/>
          <w:lang w:val="nn-NO"/>
        </w:rPr>
        <w:t>høyringssvar</w:t>
      </w:r>
      <w:r>
        <w:rPr>
          <w:rFonts w:eastAsia="Calibri"/>
          <w:lang w:val="nn-NO"/>
        </w:rPr>
        <w:t xml:space="preserve">. </w:t>
      </w:r>
      <w:r w:rsidR="00A10F98">
        <w:rPr>
          <w:rFonts w:eastAsia="Calibri"/>
          <w:lang w:val="nn-NO"/>
        </w:rPr>
        <w:t>Vår</w:t>
      </w:r>
      <w:r w:rsidRPr="0013333D">
        <w:rPr>
          <w:rFonts w:eastAsia="Calibri"/>
          <w:lang w:val="nn-NO"/>
        </w:rPr>
        <w:t xml:space="preserve"> hov</w:t>
      </w:r>
      <w:r>
        <w:rPr>
          <w:rFonts w:eastAsia="Calibri"/>
          <w:lang w:val="nn-NO"/>
        </w:rPr>
        <w:t>u</w:t>
      </w:r>
      <w:r w:rsidRPr="0013333D">
        <w:rPr>
          <w:rFonts w:eastAsia="Calibri"/>
          <w:lang w:val="nn-NO"/>
        </w:rPr>
        <w:t>dbudskap var at dei foreslåtte endringane ikk</w:t>
      </w:r>
      <w:r>
        <w:rPr>
          <w:rFonts w:eastAsia="Calibri"/>
          <w:lang w:val="nn-NO"/>
        </w:rPr>
        <w:t>j</w:t>
      </w:r>
      <w:r w:rsidR="00A10F98">
        <w:rPr>
          <w:rFonts w:eastAsia="Calibri"/>
          <w:lang w:val="nn-NO"/>
        </w:rPr>
        <w:t>e bidreg</w:t>
      </w:r>
      <w:r w:rsidRPr="0013333D">
        <w:rPr>
          <w:rFonts w:eastAsia="Calibri"/>
          <w:lang w:val="nn-NO"/>
        </w:rPr>
        <w:t xml:space="preserve"> til ønskja klarheit og at det er behov for ei meir omfattande lovreform på verjemålsfeltet. </w:t>
      </w:r>
      <w:r>
        <w:rPr>
          <w:rFonts w:eastAsia="Calibri"/>
          <w:lang w:val="nn-NO"/>
        </w:rPr>
        <w:t>O</w:t>
      </w:r>
      <w:r w:rsidRPr="0013333D">
        <w:rPr>
          <w:rFonts w:eastAsia="Calibri"/>
          <w:lang w:val="nn-NO"/>
        </w:rPr>
        <w:t>mb</w:t>
      </w:r>
      <w:r>
        <w:rPr>
          <w:rFonts w:eastAsia="Calibri"/>
          <w:lang w:val="nn-NO"/>
        </w:rPr>
        <w:t>od</w:t>
      </w:r>
      <w:r w:rsidRPr="0013333D">
        <w:rPr>
          <w:rFonts w:eastAsia="Calibri"/>
          <w:lang w:val="nn-NO"/>
        </w:rPr>
        <w:t>et er positiv til intensjonen bak dei endringane som</w:t>
      </w:r>
      <w:r>
        <w:rPr>
          <w:rFonts w:eastAsia="Calibri"/>
          <w:lang w:val="nn-NO"/>
        </w:rPr>
        <w:t xml:space="preserve"> </w:t>
      </w:r>
      <w:r w:rsidR="00A000E6">
        <w:rPr>
          <w:rFonts w:eastAsia="Calibri"/>
          <w:lang w:val="nn-NO"/>
        </w:rPr>
        <w:t>blir foreslegne</w:t>
      </w:r>
      <w:r w:rsidRPr="0013333D">
        <w:rPr>
          <w:rFonts w:eastAsia="Calibri"/>
          <w:lang w:val="nn-NO"/>
        </w:rPr>
        <w:t xml:space="preserve"> i § 20 og § 33. Utfordringa</w:t>
      </w:r>
      <w:r w:rsidR="006B60E4">
        <w:rPr>
          <w:rFonts w:eastAsia="Calibri"/>
          <w:lang w:val="nn-NO"/>
        </w:rPr>
        <w:t>r når det gjeld sjølvavgjersle</w:t>
      </w:r>
      <w:r w:rsidRPr="0013333D">
        <w:rPr>
          <w:rFonts w:eastAsia="Calibri"/>
          <w:lang w:val="nn-NO"/>
        </w:rPr>
        <w:t xml:space="preserve"> for denne grupp</w:t>
      </w:r>
      <w:r>
        <w:rPr>
          <w:rFonts w:eastAsia="Calibri"/>
          <w:lang w:val="nn-NO"/>
        </w:rPr>
        <w:t>a</w:t>
      </w:r>
      <w:r w:rsidRPr="0013333D">
        <w:rPr>
          <w:rFonts w:eastAsia="Calibri"/>
          <w:lang w:val="nn-NO"/>
        </w:rPr>
        <w:t xml:space="preserve"> er eit tema omb</w:t>
      </w:r>
      <w:r>
        <w:rPr>
          <w:rFonts w:eastAsia="Calibri"/>
          <w:lang w:val="nn-NO"/>
        </w:rPr>
        <w:t>o</w:t>
      </w:r>
      <w:r w:rsidRPr="0013333D">
        <w:rPr>
          <w:rFonts w:eastAsia="Calibri"/>
          <w:lang w:val="nn-NO"/>
        </w:rPr>
        <w:t>det har teke opp fle</w:t>
      </w:r>
      <w:r>
        <w:rPr>
          <w:rFonts w:eastAsia="Calibri"/>
          <w:lang w:val="nn-NO"/>
        </w:rPr>
        <w:t>i</w:t>
      </w:r>
      <w:r w:rsidR="00A73172">
        <w:rPr>
          <w:rFonts w:eastAsia="Calibri"/>
          <w:lang w:val="nn-NO"/>
        </w:rPr>
        <w:t>re gonga</w:t>
      </w:r>
      <w:r w:rsidRPr="0013333D">
        <w:rPr>
          <w:rFonts w:eastAsia="Calibri"/>
          <w:lang w:val="nn-NO"/>
        </w:rPr>
        <w:t>r</w:t>
      </w:r>
      <w:r>
        <w:rPr>
          <w:rFonts w:eastAsia="Calibri"/>
          <w:lang w:val="nn-NO"/>
        </w:rPr>
        <w:t xml:space="preserve">, </w:t>
      </w:r>
      <w:r w:rsidRPr="0013333D">
        <w:rPr>
          <w:rFonts w:eastAsia="Calibri"/>
          <w:lang w:val="nn-NO"/>
        </w:rPr>
        <w:t xml:space="preserve">også </w:t>
      </w:r>
      <w:r w:rsidR="008A08EE">
        <w:rPr>
          <w:rFonts w:eastAsia="Calibri"/>
          <w:lang w:val="nn-NO"/>
        </w:rPr>
        <w:t>med FN sin</w:t>
      </w:r>
      <w:r w:rsidRPr="0013333D">
        <w:rPr>
          <w:rFonts w:eastAsia="Calibri"/>
          <w:lang w:val="nn-NO"/>
        </w:rPr>
        <w:t xml:space="preserve"> CRPD-komit</w:t>
      </w:r>
      <w:r>
        <w:rPr>
          <w:rFonts w:eastAsia="Calibri"/>
          <w:lang w:val="nn-NO"/>
        </w:rPr>
        <w:t>é</w:t>
      </w:r>
      <w:r w:rsidRPr="0013333D">
        <w:rPr>
          <w:rFonts w:eastAsia="Calibri"/>
          <w:lang w:val="nn-NO"/>
        </w:rPr>
        <w:t xml:space="preserve">. </w:t>
      </w:r>
      <w:r w:rsidRPr="00AE02D3">
        <w:rPr>
          <w:rFonts w:eastAsia="Calibri"/>
        </w:rPr>
        <w:t>Vi støttar Justisdeparte</w:t>
      </w:r>
      <w:r w:rsidR="008A08EE" w:rsidRPr="00AE02D3">
        <w:rPr>
          <w:rFonts w:eastAsia="Calibri"/>
        </w:rPr>
        <w:t>me</w:t>
      </w:r>
      <w:r w:rsidR="00E57AF3" w:rsidRPr="00AE02D3">
        <w:rPr>
          <w:rFonts w:eastAsia="Calibri"/>
        </w:rPr>
        <w:t>nt</w:t>
      </w:r>
      <w:r w:rsidR="006A7E68" w:rsidRPr="00AE02D3">
        <w:rPr>
          <w:rFonts w:eastAsia="Calibri"/>
        </w:rPr>
        <w:t>et i tolkninga</w:t>
      </w:r>
      <w:r w:rsidRPr="00AE02D3">
        <w:rPr>
          <w:rFonts w:eastAsia="Calibri"/>
        </w:rPr>
        <w:t xml:space="preserve">: “de sentrale hensyn som ligger til grunn for vergemålsloven, og </w:t>
      </w:r>
      <w:r w:rsidR="006A7E68" w:rsidRPr="00AE02D3">
        <w:rPr>
          <w:rFonts w:eastAsia="Calibri"/>
        </w:rPr>
        <w:t>Norges</w:t>
      </w:r>
      <w:r w:rsidRPr="00AE02D3">
        <w:rPr>
          <w:rFonts w:eastAsia="Calibri"/>
        </w:rPr>
        <w:t xml:space="preserve"> konvensjonsforpliktelser etter CRPD art</w:t>
      </w:r>
      <w:r w:rsidR="006A7E68" w:rsidRPr="00AE02D3">
        <w:rPr>
          <w:rFonts w:eastAsia="Calibri"/>
        </w:rPr>
        <w:t>ikk</w:t>
      </w:r>
      <w:r w:rsidR="00477933" w:rsidRPr="00AE02D3">
        <w:rPr>
          <w:rFonts w:eastAsia="Calibri"/>
        </w:rPr>
        <w:t>e</w:t>
      </w:r>
      <w:r w:rsidRPr="00AE02D3">
        <w:rPr>
          <w:rFonts w:eastAsia="Calibri"/>
        </w:rPr>
        <w:t>l § 12 tilsier at</w:t>
      </w:r>
      <w:r w:rsidRPr="00AE02D3">
        <w:rPr>
          <w:rFonts w:asciiTheme="minorHAnsi" w:eastAsiaTheme="minorHAnsi" w:hAnsiTheme="minorHAnsi" w:cstheme="minorHAnsi"/>
          <w:lang w:eastAsia="en-US"/>
        </w:rPr>
        <w:t xml:space="preserve"> </w:t>
      </w:r>
      <w:r w:rsidRPr="00AE02D3">
        <w:rPr>
          <w:rFonts w:eastAsia="Calibri"/>
        </w:rPr>
        <w:t>personer uten samtykkekompetanse er sikret selvbestemmelse og rettss</w:t>
      </w:r>
      <w:r w:rsidR="006A7E68" w:rsidRPr="00AE02D3">
        <w:rPr>
          <w:rFonts w:eastAsia="Calibri"/>
        </w:rPr>
        <w:t>ikk</w:t>
      </w:r>
      <w:r w:rsidR="00477933" w:rsidRPr="00AE02D3">
        <w:rPr>
          <w:rFonts w:eastAsia="Calibri"/>
        </w:rPr>
        <w:t>e</w:t>
      </w:r>
      <w:r w:rsidRPr="00AE02D3">
        <w:rPr>
          <w:rFonts w:eastAsia="Calibri"/>
        </w:rPr>
        <w:t>rhetsgarantier på linje med personer med samtykkekompetanse”.</w:t>
      </w:r>
    </w:p>
    <w:p w:rsidR="00650938" w:rsidRPr="00AE02D3" w:rsidRDefault="00650938" w:rsidP="00650938">
      <w:pPr>
        <w:rPr>
          <w:rFonts w:eastAsia="Calibri"/>
        </w:rPr>
      </w:pPr>
      <w:r w:rsidRPr="00AE02D3">
        <w:rPr>
          <w:rFonts w:eastAsia="Calibri"/>
        </w:rPr>
        <w:lastRenderedPageBreak/>
        <w:t xml:space="preserve">Vi er likevel skeptiske til om endringsforslaga er </w:t>
      </w:r>
      <w:r w:rsidR="000C482C" w:rsidRPr="00AE02D3">
        <w:rPr>
          <w:rFonts w:eastAsia="Calibri"/>
        </w:rPr>
        <w:t>egna</w:t>
      </w:r>
      <w:r w:rsidRPr="00AE02D3">
        <w:rPr>
          <w:rFonts w:eastAsia="Calibri"/>
        </w:rPr>
        <w:t xml:space="preserve"> til å frem</w:t>
      </w:r>
      <w:r w:rsidR="000C482C" w:rsidRPr="00AE02D3">
        <w:rPr>
          <w:rFonts w:eastAsia="Calibri"/>
        </w:rPr>
        <w:t>je sjølvavgjersle</w:t>
      </w:r>
      <w:r w:rsidRPr="00AE02D3">
        <w:rPr>
          <w:rFonts w:eastAsia="Calibri"/>
        </w:rPr>
        <w:t>, rettss</w:t>
      </w:r>
      <w:r w:rsidR="000C482C" w:rsidRPr="00AE02D3">
        <w:rPr>
          <w:rFonts w:eastAsia="Calibri"/>
        </w:rPr>
        <w:t>tryggleik</w:t>
      </w:r>
      <w:r w:rsidRPr="00AE02D3">
        <w:rPr>
          <w:rFonts w:eastAsia="Calibri"/>
        </w:rPr>
        <w:t xml:space="preserve"> og tilgang </w:t>
      </w:r>
      <w:r w:rsidR="00DB1898" w:rsidRPr="00AE02D3">
        <w:rPr>
          <w:rFonts w:eastAsia="Calibri"/>
        </w:rPr>
        <w:t>til støtte i beslutningar for persona</w:t>
      </w:r>
      <w:r w:rsidRPr="00AE02D3">
        <w:rPr>
          <w:rFonts w:eastAsia="Calibri"/>
        </w:rPr>
        <w:t>r uten samtykkekompetanse, herunder om fors</w:t>
      </w:r>
      <w:r w:rsidR="00872CD8" w:rsidRPr="00AE02D3">
        <w:rPr>
          <w:rFonts w:eastAsia="Calibri"/>
        </w:rPr>
        <w:t>laga vil oppfylle pliktane</w:t>
      </w:r>
      <w:r w:rsidRPr="00AE02D3">
        <w:rPr>
          <w:rFonts w:eastAsia="Calibri"/>
        </w:rPr>
        <w:t xml:space="preserve"> som følg</w:t>
      </w:r>
      <w:r w:rsidR="00872CD8" w:rsidRPr="00AE02D3">
        <w:rPr>
          <w:rFonts w:eastAsia="Calibri"/>
        </w:rPr>
        <w:t>j</w:t>
      </w:r>
      <w:r w:rsidRPr="00AE02D3">
        <w:rPr>
          <w:rFonts w:eastAsia="Calibri"/>
        </w:rPr>
        <w:t>er av CRPD.</w:t>
      </w:r>
    </w:p>
    <w:p w:rsidR="00650938" w:rsidRPr="00AE02D3" w:rsidRDefault="00650938" w:rsidP="00650938">
      <w:pPr>
        <w:rPr>
          <w:rFonts w:eastAsia="Calibri"/>
        </w:rPr>
      </w:pPr>
      <w:r w:rsidRPr="00AE02D3">
        <w:rPr>
          <w:rFonts w:eastAsia="Calibri"/>
        </w:rPr>
        <w:t>Vi konkluderar med at det er behov for at Justisdepart</w:t>
      </w:r>
      <w:r w:rsidR="00207D04" w:rsidRPr="00AE02D3">
        <w:rPr>
          <w:rFonts w:eastAsia="Calibri"/>
        </w:rPr>
        <w:t>me</w:t>
      </w:r>
      <w:r w:rsidR="00E57AF3" w:rsidRPr="00AE02D3">
        <w:rPr>
          <w:rFonts w:eastAsia="Calibri"/>
        </w:rPr>
        <w:t>nt</w:t>
      </w:r>
      <w:r w:rsidR="006A61CB" w:rsidRPr="00AE02D3">
        <w:rPr>
          <w:rFonts w:eastAsia="Calibri"/>
        </w:rPr>
        <w:t>et undersøkjer</w:t>
      </w:r>
      <w:r w:rsidRPr="00AE02D3">
        <w:rPr>
          <w:rFonts w:eastAsia="Calibri"/>
        </w:rPr>
        <w:t xml:space="preserve"> eit nytt system for </w:t>
      </w:r>
      <w:r w:rsidR="005B15B3" w:rsidRPr="00AE02D3">
        <w:rPr>
          <w:rFonts w:eastAsia="Calibri"/>
        </w:rPr>
        <w:t xml:space="preserve">støtte i avgjersle </w:t>
      </w:r>
      <w:r w:rsidRPr="00AE02D3">
        <w:rPr>
          <w:rFonts w:eastAsia="Calibri"/>
        </w:rPr>
        <w:t xml:space="preserve">som erstatter dagens ordning med frivillig vergemål. Vårt høyringssvar her bør lesast i samanheng med vårt høyringssvar til tvangsbegrensningslova. </w:t>
      </w:r>
    </w:p>
    <w:p w:rsidR="00650938" w:rsidRPr="00AE02D3" w:rsidRDefault="00650938" w:rsidP="00650938">
      <w:pPr>
        <w:rPr>
          <w:rFonts w:eastAsia="Calibri"/>
        </w:rPr>
      </w:pPr>
    </w:p>
    <w:p w:rsidR="00650938" w:rsidRPr="00AE02D3" w:rsidRDefault="00C50C14" w:rsidP="00650938">
      <w:r w:rsidRPr="00AE02D3">
        <w:rPr>
          <w:b/>
        </w:rPr>
        <w:t>H</w:t>
      </w:r>
      <w:r w:rsidR="00C8520A" w:rsidRPr="00AE02D3">
        <w:rPr>
          <w:b/>
        </w:rPr>
        <w:t xml:space="preserve">andlingsplan for </w:t>
      </w:r>
      <w:r w:rsidR="009A6C4F" w:rsidRPr="00AE02D3">
        <w:rPr>
          <w:b/>
        </w:rPr>
        <w:t xml:space="preserve">personar med </w:t>
      </w:r>
      <w:r w:rsidR="00C8520A" w:rsidRPr="00AE02D3">
        <w:rPr>
          <w:b/>
        </w:rPr>
        <w:t>funksjonsned</w:t>
      </w:r>
      <w:r w:rsidR="009A6C4F" w:rsidRPr="00AE02D3">
        <w:rPr>
          <w:b/>
        </w:rPr>
        <w:t>setjing og handlingsplan for universell utforming</w:t>
      </w:r>
    </w:p>
    <w:p w:rsidR="00650938" w:rsidRPr="00D20BB7" w:rsidRDefault="00650938" w:rsidP="00650938">
      <w:pPr>
        <w:rPr>
          <w:lang w:val="nn-NO"/>
        </w:rPr>
      </w:pPr>
      <w:r w:rsidRPr="001D0BDE">
        <w:rPr>
          <w:lang w:val="nn-NO"/>
        </w:rPr>
        <w:t>Til "Eit sa</w:t>
      </w:r>
      <w:r w:rsidR="007D6C0A">
        <w:rPr>
          <w:lang w:val="nn-NO"/>
        </w:rPr>
        <w:t>mfunn for alle – handlingsplana</w:t>
      </w:r>
      <w:r w:rsidRPr="001D0BDE">
        <w:rPr>
          <w:lang w:val="nn-NO"/>
        </w:rPr>
        <w:t xml:space="preserve"> til regjeringa for likestilling av personar med funksjonsnedsetjing" </w:t>
      </w:r>
      <w:r w:rsidR="007D6C0A">
        <w:rPr>
          <w:lang w:val="nn-NO"/>
        </w:rPr>
        <w:t xml:space="preserve">peika vi på kor viktig det er med </w:t>
      </w:r>
      <w:r w:rsidRPr="001D0BDE">
        <w:rPr>
          <w:lang w:val="nn-NO"/>
        </w:rPr>
        <w:t>eit perspektivskifte i polit</w:t>
      </w:r>
      <w:r w:rsidR="007D6C0A">
        <w:rPr>
          <w:lang w:val="nn-NO"/>
        </w:rPr>
        <w:t>ikk</w:t>
      </w:r>
      <w:r w:rsidR="00477933" w:rsidRPr="001D0BDE">
        <w:rPr>
          <w:lang w:val="nn-NO"/>
        </w:rPr>
        <w:t>e</w:t>
      </w:r>
      <w:r w:rsidR="007D6C0A">
        <w:rPr>
          <w:lang w:val="nn-NO"/>
        </w:rPr>
        <w:t>n. Ombodet har gjeve</w:t>
      </w:r>
      <w:r w:rsidRPr="001D0BDE">
        <w:rPr>
          <w:lang w:val="nn-NO"/>
        </w:rPr>
        <w:t xml:space="preserve"> innspel til korleis polit</w:t>
      </w:r>
      <w:r w:rsidR="00561004">
        <w:rPr>
          <w:lang w:val="nn-NO"/>
        </w:rPr>
        <w:t>ikk</w:t>
      </w:r>
      <w:r w:rsidR="00477933" w:rsidRPr="001D0BDE">
        <w:rPr>
          <w:lang w:val="nn-NO"/>
        </w:rPr>
        <w:t>e</w:t>
      </w:r>
      <w:r w:rsidRPr="001D0BDE">
        <w:rPr>
          <w:lang w:val="nn-NO"/>
        </w:rPr>
        <w:t xml:space="preserve">n vidare kan sikre medverknad, deltaking og inkludering i mellom anna skule og utdanning, arbeidsliv samt </w:t>
      </w:r>
      <w:r w:rsidR="00561004">
        <w:rPr>
          <w:lang w:val="nn-NO"/>
        </w:rPr>
        <w:t xml:space="preserve">ei </w:t>
      </w:r>
      <w:r w:rsidRPr="001D0BDE">
        <w:rPr>
          <w:lang w:val="nn-NO"/>
        </w:rPr>
        <w:t xml:space="preserve">likestilt og likeverdig helseteneste. </w:t>
      </w:r>
      <w:r w:rsidRPr="00D20BB7">
        <w:rPr>
          <w:lang w:val="nn-NO"/>
        </w:rPr>
        <w:t>Vi gav óg innspel til stortingsmeldinga for å trygg</w:t>
      </w:r>
      <w:r w:rsidR="00041466">
        <w:rPr>
          <w:lang w:val="nn-NO"/>
        </w:rPr>
        <w:t>j</w:t>
      </w:r>
      <w:r w:rsidRPr="00D20BB7">
        <w:rPr>
          <w:lang w:val="nn-NO"/>
        </w:rPr>
        <w:t>e menneskerettane til utviklingshemma der avinstitusjonalisering, sjølvavgjerd og retts</w:t>
      </w:r>
      <w:r w:rsidR="00041466">
        <w:rPr>
          <w:lang w:val="nn-NO"/>
        </w:rPr>
        <w:t>tryggleik</w:t>
      </w:r>
      <w:r w:rsidRPr="00D20BB7">
        <w:rPr>
          <w:lang w:val="nn-NO"/>
        </w:rPr>
        <w:t xml:space="preserve"> var viktige tema. </w:t>
      </w:r>
    </w:p>
    <w:p w:rsidR="00C50C14" w:rsidRDefault="00BB37FE" w:rsidP="00650938">
      <w:pPr>
        <w:rPr>
          <w:b/>
          <w:lang w:val="nn-NO"/>
        </w:rPr>
      </w:pPr>
      <w:r>
        <w:rPr>
          <w:lang w:val="nn-NO"/>
        </w:rPr>
        <w:t>Til regjeringa si</w:t>
      </w:r>
      <w:r w:rsidR="00650938" w:rsidRPr="00D20BB7">
        <w:rPr>
          <w:lang w:val="nn-NO"/>
        </w:rPr>
        <w:t xml:space="preserve"> nye handlingsplan for universell utforming har vi mellom anna </w:t>
      </w:r>
      <w:r>
        <w:rPr>
          <w:lang w:val="nn-NO"/>
        </w:rPr>
        <w:t>foreslått</w:t>
      </w:r>
      <w:r w:rsidR="00650938" w:rsidRPr="00D20BB7">
        <w:rPr>
          <w:lang w:val="nn-NO"/>
        </w:rPr>
        <w:t xml:space="preserve"> ei plikt til universell utforming av arbeidsplassar. </w:t>
      </w:r>
      <w:r w:rsidR="00650938" w:rsidRPr="00D20BB7">
        <w:rPr>
          <w:rFonts w:eastAsia="Calibri"/>
          <w:lang w:val="nn-NO"/>
        </w:rPr>
        <w:t>Arbeidsplassar er ikkje omfatta av kravet til universell utforming i likestillings- og diskrimineringslova. Situasjonen i dag er mellom anna at mange arbeidsplassar ikkje har tilgjengelege IKT-system, noko som synshemma, dyslektikarar og andre e</w:t>
      </w:r>
      <w:r>
        <w:rPr>
          <w:rFonts w:eastAsia="Calibri"/>
          <w:lang w:val="nn-NO"/>
        </w:rPr>
        <w:t>r avhengige av for å kunne arbeide</w:t>
      </w:r>
      <w:r w:rsidR="00650938" w:rsidRPr="00D20BB7">
        <w:rPr>
          <w:rFonts w:eastAsia="Calibri"/>
          <w:lang w:val="nn-NO"/>
        </w:rPr>
        <w:t xml:space="preserve">. Rullestolbrukarar og andre bevegelseshemma møter trapper, utilgjengelege kontor, kantiner og pauserom. </w:t>
      </w:r>
      <w:r w:rsidR="00650938" w:rsidRPr="00D20BB7">
        <w:rPr>
          <w:lang w:val="nn-NO"/>
        </w:rPr>
        <w:t>Om</w:t>
      </w:r>
      <w:r w:rsidR="00DF6761">
        <w:rPr>
          <w:lang w:val="nn-NO"/>
        </w:rPr>
        <w:t>bodet meiner regjeringa bør lage</w:t>
      </w:r>
      <w:r w:rsidR="00650938" w:rsidRPr="00D20BB7">
        <w:rPr>
          <w:lang w:val="nn-NO"/>
        </w:rPr>
        <w:t xml:space="preserve"> ei kon</w:t>
      </w:r>
      <w:r w:rsidR="00DF6761">
        <w:rPr>
          <w:lang w:val="nn-NO"/>
        </w:rPr>
        <w:t>kret plan med tidfristar for ei</w:t>
      </w:r>
      <w:r w:rsidR="00650938" w:rsidRPr="00D20BB7">
        <w:rPr>
          <w:lang w:val="nn-NO"/>
        </w:rPr>
        <w:t xml:space="preserve"> systematisk opptrapping av eksisterande bygg og uteområder til universell utforming, slik CRPD-komiteen óg krev av norske styresmakter.</w:t>
      </w:r>
    </w:p>
    <w:p w:rsidR="00C50C14" w:rsidRPr="00620219" w:rsidRDefault="00C50C14" w:rsidP="00650938">
      <w:pPr>
        <w:rPr>
          <w:b/>
          <w:lang w:val="nn-NO"/>
        </w:rPr>
      </w:pPr>
    </w:p>
    <w:p w:rsidR="00C50C14" w:rsidRPr="00AE02D3" w:rsidRDefault="00A52C6C" w:rsidP="00650938">
      <w:pPr>
        <w:rPr>
          <w:b/>
          <w:lang w:val="nn-NO"/>
        </w:rPr>
      </w:pPr>
      <w:r w:rsidRPr="00AE02D3">
        <w:rPr>
          <w:b/>
          <w:lang w:val="nn-NO"/>
        </w:rPr>
        <w:t>Kjønnsskilnadar</w:t>
      </w:r>
      <w:r w:rsidR="004A1DA7" w:rsidRPr="00AE02D3">
        <w:rPr>
          <w:b/>
          <w:lang w:val="nn-NO"/>
        </w:rPr>
        <w:t xml:space="preserve"> i </w:t>
      </w:r>
      <w:r w:rsidR="00CF3008" w:rsidRPr="00AE02D3">
        <w:rPr>
          <w:b/>
          <w:lang w:val="nn-NO"/>
        </w:rPr>
        <w:t>prestasjonar i skulen og i utdanning</w:t>
      </w:r>
    </w:p>
    <w:p w:rsidR="00650938" w:rsidRPr="00AE02D3" w:rsidRDefault="00650938" w:rsidP="00650938">
      <w:pPr>
        <w:rPr>
          <w:lang w:val="nn-NO"/>
        </w:rPr>
      </w:pPr>
      <w:r w:rsidRPr="00AE02D3">
        <w:rPr>
          <w:lang w:val="nn-NO"/>
        </w:rPr>
        <w:t>Likestillings- og diskriminerings</w:t>
      </w:r>
      <w:r w:rsidR="00255232" w:rsidRPr="00AE02D3">
        <w:rPr>
          <w:lang w:val="nn-NO"/>
        </w:rPr>
        <w:t>ombodet</w:t>
      </w:r>
      <w:r w:rsidR="006F59F7" w:rsidRPr="00AE02D3">
        <w:rPr>
          <w:lang w:val="nn-NO"/>
        </w:rPr>
        <w:t xml:space="preserve"> har i 2019 gjeve</w:t>
      </w:r>
      <w:r w:rsidRPr="00AE02D3">
        <w:rPr>
          <w:lang w:val="nn-NO"/>
        </w:rPr>
        <w:t xml:space="preserve"> hø</w:t>
      </w:r>
      <w:r w:rsidR="006F59F7" w:rsidRPr="00AE02D3">
        <w:rPr>
          <w:lang w:val="nn-NO"/>
        </w:rPr>
        <w:t>y</w:t>
      </w:r>
      <w:r w:rsidRPr="00AE02D3">
        <w:rPr>
          <w:lang w:val="nn-NO"/>
        </w:rPr>
        <w:t>ringssvar på Stoltenberg</w:t>
      </w:r>
      <w:r w:rsidR="00085AB7" w:rsidRPr="00AE02D3">
        <w:rPr>
          <w:lang w:val="nn-NO"/>
        </w:rPr>
        <w:t>utval</w:t>
      </w:r>
      <w:r w:rsidR="006F59F7" w:rsidRPr="00AE02D3">
        <w:rPr>
          <w:lang w:val="nn-NO"/>
        </w:rPr>
        <w:t>et sin</w:t>
      </w:r>
      <w:r w:rsidRPr="00AE02D3">
        <w:rPr>
          <w:lang w:val="nn-NO"/>
        </w:rPr>
        <w:t xml:space="preserve"> NOU 2019:3, «Nye sjan</w:t>
      </w:r>
      <w:r w:rsidR="00601C42" w:rsidRPr="00AE02D3">
        <w:rPr>
          <w:lang w:val="nn-NO"/>
        </w:rPr>
        <w:t>ser – bedre læring». Utgreiinga</w:t>
      </w:r>
      <w:r w:rsidRPr="00AE02D3">
        <w:rPr>
          <w:lang w:val="nn-NO"/>
        </w:rPr>
        <w:t xml:space="preserve"> viser </w:t>
      </w:r>
      <w:r w:rsidR="006F59F7" w:rsidRPr="00AE02D3">
        <w:rPr>
          <w:lang w:val="nn-NO"/>
        </w:rPr>
        <w:t xml:space="preserve">skilnadane </w:t>
      </w:r>
      <w:r w:rsidR="003A78C2" w:rsidRPr="00AE02D3">
        <w:rPr>
          <w:lang w:val="nn-NO"/>
        </w:rPr>
        <w:t>i gutar</w:t>
      </w:r>
      <w:r w:rsidRPr="00AE02D3">
        <w:rPr>
          <w:lang w:val="nn-NO"/>
        </w:rPr>
        <w:t xml:space="preserve"> og jent</w:t>
      </w:r>
      <w:r w:rsidR="006F59F7" w:rsidRPr="00AE02D3">
        <w:rPr>
          <w:lang w:val="nn-NO"/>
        </w:rPr>
        <w:t>er sin</w:t>
      </w:r>
      <w:r w:rsidR="003A78C2" w:rsidRPr="00AE02D3">
        <w:rPr>
          <w:lang w:val="nn-NO"/>
        </w:rPr>
        <w:t>e</w:t>
      </w:r>
      <w:r w:rsidR="00CF3008" w:rsidRPr="00AE02D3">
        <w:rPr>
          <w:lang w:val="nn-NO"/>
        </w:rPr>
        <w:t xml:space="preserve"> prestasjona</w:t>
      </w:r>
      <w:r w:rsidR="003A78C2" w:rsidRPr="00AE02D3">
        <w:rPr>
          <w:lang w:val="nn-NO"/>
        </w:rPr>
        <w:t>r i skulen</w:t>
      </w:r>
      <w:r w:rsidRPr="00AE02D3">
        <w:rPr>
          <w:lang w:val="nn-NO"/>
        </w:rPr>
        <w:t xml:space="preserve"> på e</w:t>
      </w:r>
      <w:r w:rsidR="006F59F7" w:rsidRPr="00AE02D3">
        <w:rPr>
          <w:lang w:val="nn-NO"/>
        </w:rPr>
        <w:t>i</w:t>
      </w:r>
      <w:r w:rsidR="008B6305" w:rsidRPr="00AE02D3">
        <w:rPr>
          <w:lang w:val="nn-NO"/>
        </w:rPr>
        <w:t>n tydele</w:t>
      </w:r>
      <w:r w:rsidR="003F4773" w:rsidRPr="00AE02D3">
        <w:rPr>
          <w:lang w:val="nn-NO"/>
        </w:rPr>
        <w:t>g måte. I topp og botn av karakterskalaen er skilnaden</w:t>
      </w:r>
      <w:r w:rsidRPr="00AE02D3">
        <w:rPr>
          <w:lang w:val="nn-NO"/>
        </w:rPr>
        <w:t xml:space="preserve"> spesielt stor. Nær 70 prosent av de</w:t>
      </w:r>
      <w:r w:rsidR="003F4773" w:rsidRPr="00AE02D3">
        <w:rPr>
          <w:lang w:val="nn-NO"/>
        </w:rPr>
        <w:t>i</w:t>
      </w:r>
      <w:r w:rsidRPr="00AE02D3">
        <w:rPr>
          <w:lang w:val="nn-NO"/>
        </w:rPr>
        <w:t xml:space="preserve"> som få</w:t>
      </w:r>
      <w:r w:rsidR="003F4773" w:rsidRPr="00AE02D3">
        <w:rPr>
          <w:lang w:val="nn-NO"/>
        </w:rPr>
        <w:t>r spesialundervisning i grunnsku</w:t>
      </w:r>
      <w:r w:rsidRPr="00AE02D3">
        <w:rPr>
          <w:lang w:val="nn-NO"/>
        </w:rPr>
        <w:t>len er gut</w:t>
      </w:r>
      <w:r w:rsidR="003F4773" w:rsidRPr="00AE02D3">
        <w:rPr>
          <w:lang w:val="nn-NO"/>
        </w:rPr>
        <w:t>a</w:t>
      </w:r>
      <w:r w:rsidRPr="00AE02D3">
        <w:rPr>
          <w:lang w:val="nn-NO"/>
        </w:rPr>
        <w:t xml:space="preserve">r. </w:t>
      </w:r>
      <w:r w:rsidR="00255232" w:rsidRPr="00AE02D3">
        <w:rPr>
          <w:lang w:val="nn-NO"/>
        </w:rPr>
        <w:t>Ombodet</w:t>
      </w:r>
      <w:r w:rsidRPr="00AE02D3">
        <w:rPr>
          <w:lang w:val="nn-NO"/>
        </w:rPr>
        <w:t xml:space="preserve"> me</w:t>
      </w:r>
      <w:r w:rsidR="004D10C7" w:rsidRPr="00AE02D3">
        <w:rPr>
          <w:lang w:val="nn-NO"/>
        </w:rPr>
        <w:t>i</w:t>
      </w:r>
      <w:r w:rsidRPr="00AE02D3">
        <w:rPr>
          <w:lang w:val="nn-NO"/>
        </w:rPr>
        <w:t>ner at denne situasjonen er e</w:t>
      </w:r>
      <w:r w:rsidR="004D10C7" w:rsidRPr="00AE02D3">
        <w:rPr>
          <w:lang w:val="nn-NO"/>
        </w:rPr>
        <w:t>i</w:t>
      </w:r>
      <w:r w:rsidRPr="00AE02D3">
        <w:rPr>
          <w:lang w:val="nn-NO"/>
        </w:rPr>
        <w:t xml:space="preserve">t stort </w:t>
      </w:r>
      <w:r w:rsidR="004D10C7" w:rsidRPr="00AE02D3">
        <w:rPr>
          <w:lang w:val="nn-NO"/>
        </w:rPr>
        <w:t>problem for likestillinga</w:t>
      </w:r>
      <w:r w:rsidRPr="00AE02D3">
        <w:rPr>
          <w:lang w:val="nn-NO"/>
        </w:rPr>
        <w:t xml:space="preserve">, og at det er </w:t>
      </w:r>
      <w:r w:rsidR="004D10C7" w:rsidRPr="00AE02D3">
        <w:rPr>
          <w:lang w:val="nn-NO"/>
        </w:rPr>
        <w:t>veldig</w:t>
      </w:r>
      <w:r w:rsidRPr="00AE02D3">
        <w:rPr>
          <w:lang w:val="nn-NO"/>
        </w:rPr>
        <w:t xml:space="preserve"> viktig å </w:t>
      </w:r>
      <w:r w:rsidR="004D10C7" w:rsidRPr="00AE02D3">
        <w:rPr>
          <w:lang w:val="nn-NO"/>
        </w:rPr>
        <w:t>ta</w:t>
      </w:r>
      <w:r w:rsidRPr="00AE02D3">
        <w:rPr>
          <w:lang w:val="nn-NO"/>
        </w:rPr>
        <w:t xml:space="preserve"> politiske grep for å </w:t>
      </w:r>
      <w:r w:rsidR="004D10C7" w:rsidRPr="00AE02D3">
        <w:rPr>
          <w:lang w:val="nn-NO"/>
        </w:rPr>
        <w:t>gjere situasjonen betre.</w:t>
      </w:r>
      <w:r w:rsidR="00CF3008" w:rsidRPr="00AE02D3">
        <w:rPr>
          <w:lang w:val="nn-NO"/>
        </w:rPr>
        <w:t xml:space="preserve"> NOUen inneheld</w:t>
      </w:r>
      <w:r w:rsidRPr="00AE02D3">
        <w:rPr>
          <w:lang w:val="nn-NO"/>
        </w:rPr>
        <w:t xml:space="preserve"> mange gode og int</w:t>
      </w:r>
      <w:r w:rsidR="00CF3008" w:rsidRPr="00AE02D3">
        <w:rPr>
          <w:lang w:val="nn-NO"/>
        </w:rPr>
        <w:t>eressante forslag for å betre</w:t>
      </w:r>
      <w:r w:rsidRPr="00AE02D3">
        <w:rPr>
          <w:lang w:val="nn-NO"/>
        </w:rPr>
        <w:t xml:space="preserve"> situasjonen. </w:t>
      </w:r>
      <w:r w:rsidR="00255232" w:rsidRPr="00AE02D3">
        <w:rPr>
          <w:lang w:val="nn-NO"/>
        </w:rPr>
        <w:t>Ombodet</w:t>
      </w:r>
      <w:r w:rsidR="00CF3008" w:rsidRPr="00AE02D3">
        <w:rPr>
          <w:lang w:val="nn-NO"/>
        </w:rPr>
        <w:t xml:space="preserve"> støtter til dømes</w:t>
      </w:r>
      <w:r w:rsidRPr="00AE02D3">
        <w:rPr>
          <w:lang w:val="nn-NO"/>
        </w:rPr>
        <w:t xml:space="preserve"> obligatorisk he</w:t>
      </w:r>
      <w:r w:rsidR="00CF3008" w:rsidRPr="00AE02D3">
        <w:rPr>
          <w:lang w:val="nn-NO"/>
        </w:rPr>
        <w:t>ildagsskule, fleksibel sku</w:t>
      </w:r>
      <w:r w:rsidRPr="00AE02D3">
        <w:rPr>
          <w:lang w:val="nn-NO"/>
        </w:rPr>
        <w:t xml:space="preserve">lestart og </w:t>
      </w:r>
      <w:r w:rsidR="00CF3008" w:rsidRPr="00AE02D3">
        <w:rPr>
          <w:lang w:val="nn-NO"/>
        </w:rPr>
        <w:t xml:space="preserve">tilpassa opplæring pålagt ved lov for alle elevar. </w:t>
      </w:r>
      <w:r w:rsidRPr="00AE02D3">
        <w:rPr>
          <w:lang w:val="nn-NO"/>
        </w:rPr>
        <w:t>E</w:t>
      </w:r>
      <w:r w:rsidR="00CF3008" w:rsidRPr="00AE02D3">
        <w:rPr>
          <w:lang w:val="nn-NO"/>
        </w:rPr>
        <w:t>i</w:t>
      </w:r>
      <w:r w:rsidRPr="00AE02D3">
        <w:rPr>
          <w:lang w:val="nn-NO"/>
        </w:rPr>
        <w:t xml:space="preserve">t viktig </w:t>
      </w:r>
      <w:r w:rsidR="004E5574" w:rsidRPr="00AE02D3">
        <w:rPr>
          <w:lang w:val="nn-NO"/>
        </w:rPr>
        <w:t>innspel</w:t>
      </w:r>
      <w:r w:rsidRPr="00AE02D3">
        <w:rPr>
          <w:lang w:val="nn-NO"/>
        </w:rPr>
        <w:t xml:space="preserve"> </w:t>
      </w:r>
      <w:r w:rsidR="00AE6728" w:rsidRPr="00AE02D3">
        <w:rPr>
          <w:lang w:val="nn-NO"/>
        </w:rPr>
        <w:t>frå</w:t>
      </w:r>
      <w:r w:rsidRPr="00AE02D3">
        <w:rPr>
          <w:lang w:val="nn-NO"/>
        </w:rPr>
        <w:t xml:space="preserve"> oss er</w:t>
      </w:r>
      <w:r w:rsidR="006F67E1" w:rsidRPr="00AE02D3">
        <w:rPr>
          <w:lang w:val="nn-NO"/>
        </w:rPr>
        <w:t xml:space="preserve"> å vise til</w:t>
      </w:r>
      <w:r w:rsidRPr="00AE02D3">
        <w:rPr>
          <w:lang w:val="nn-NO"/>
        </w:rPr>
        <w:t xml:space="preserve"> </w:t>
      </w:r>
      <w:r w:rsidR="00085AB7" w:rsidRPr="00AE02D3">
        <w:rPr>
          <w:lang w:val="nn-NO"/>
        </w:rPr>
        <w:t>utval</w:t>
      </w:r>
      <w:r w:rsidR="00CE00F5" w:rsidRPr="00AE02D3">
        <w:rPr>
          <w:lang w:val="nn-NO"/>
        </w:rPr>
        <w:t>et sine</w:t>
      </w:r>
      <w:r w:rsidR="00CF3008" w:rsidRPr="00AE02D3">
        <w:rPr>
          <w:lang w:val="nn-NO"/>
        </w:rPr>
        <w:t xml:space="preserve"> manglande konkrete strategiar for korleis </w:t>
      </w:r>
      <w:r w:rsidR="00CE00F5" w:rsidRPr="00AE02D3">
        <w:rPr>
          <w:lang w:val="nn-NO"/>
        </w:rPr>
        <w:t>ein skal sikre implementering av gode p</w:t>
      </w:r>
      <w:r w:rsidR="00CF3008" w:rsidRPr="00AE02D3">
        <w:rPr>
          <w:lang w:val="nn-NO"/>
        </w:rPr>
        <w:t>edagogiske metoda</w:t>
      </w:r>
      <w:r w:rsidRPr="00AE02D3">
        <w:rPr>
          <w:lang w:val="nn-NO"/>
        </w:rPr>
        <w:t>r </w:t>
      </w:r>
      <w:r w:rsidR="00CE00F5" w:rsidRPr="00AE02D3">
        <w:rPr>
          <w:lang w:val="nn-NO"/>
        </w:rPr>
        <w:t>i barnehage og sku</w:t>
      </w:r>
      <w:r w:rsidRPr="00AE02D3">
        <w:rPr>
          <w:lang w:val="nn-NO"/>
        </w:rPr>
        <w:t>le.  </w:t>
      </w:r>
    </w:p>
    <w:p w:rsidR="00650938" w:rsidRPr="00AE02D3" w:rsidRDefault="00650938" w:rsidP="00650938">
      <w:pPr>
        <w:rPr>
          <w:lang w:val="nn-NO"/>
        </w:rPr>
      </w:pPr>
    </w:p>
    <w:p w:rsidR="00650938" w:rsidRPr="00AE02D3" w:rsidRDefault="00650938" w:rsidP="00650938">
      <w:pPr>
        <w:rPr>
          <w:b/>
          <w:lang w:val="nn-NO"/>
        </w:rPr>
      </w:pPr>
      <w:r w:rsidRPr="00AE02D3">
        <w:rPr>
          <w:b/>
          <w:lang w:val="nn-NO"/>
        </w:rPr>
        <w:t xml:space="preserve">Forslag til tolkelov </w:t>
      </w:r>
    </w:p>
    <w:p w:rsidR="00650938" w:rsidRPr="00620219" w:rsidRDefault="0026497A" w:rsidP="00650938">
      <w:pPr>
        <w:rPr>
          <w:lang w:val="nn-NO"/>
        </w:rPr>
      </w:pPr>
      <w:r w:rsidRPr="00AE02D3">
        <w:rPr>
          <w:lang w:val="nn-NO"/>
        </w:rPr>
        <w:t>LDO er nøgd med at regjeringa vil legge</w:t>
      </w:r>
      <w:r w:rsidR="00650938" w:rsidRPr="00AE02D3">
        <w:rPr>
          <w:lang w:val="nn-NO"/>
        </w:rPr>
        <w:t xml:space="preserve"> </w:t>
      </w:r>
      <w:r w:rsidRPr="00AE02D3">
        <w:rPr>
          <w:lang w:val="nn-NO"/>
        </w:rPr>
        <w:t>fra</w:t>
      </w:r>
      <w:r w:rsidR="00650938" w:rsidRPr="00AE02D3">
        <w:rPr>
          <w:lang w:val="nn-NO"/>
        </w:rPr>
        <w:t>m ei eiga lov o</w:t>
      </w:r>
      <w:r w:rsidRPr="00AE02D3">
        <w:rPr>
          <w:lang w:val="nn-NO"/>
        </w:rPr>
        <w:t>m ansvaret til offentlege organ sitt</w:t>
      </w:r>
      <w:r w:rsidR="00650938" w:rsidRPr="00AE02D3">
        <w:rPr>
          <w:lang w:val="nn-NO"/>
        </w:rPr>
        <w:t xml:space="preserve"> bruk av tolk, om krav til kvalifikasjonane til tolken og rolla til tolken. </w:t>
      </w:r>
      <w:r w:rsidR="00650938" w:rsidRPr="00620219">
        <w:rPr>
          <w:lang w:val="nn-NO"/>
        </w:rPr>
        <w:t>I høyringssvaret vårt tilrådde vi m</w:t>
      </w:r>
      <w:r>
        <w:rPr>
          <w:lang w:val="nn-NO"/>
        </w:rPr>
        <w:t>ellom anna at ho òg skal omfatte</w:t>
      </w:r>
      <w:r w:rsidR="00650938" w:rsidRPr="00620219">
        <w:rPr>
          <w:lang w:val="nn-NO"/>
        </w:rPr>
        <w:t xml:space="preserve"> døve, høyrslehemma og døvblinde. Vi meinte </w:t>
      </w:r>
      <w:r>
        <w:rPr>
          <w:lang w:val="nn-NO"/>
        </w:rPr>
        <w:t>dessutan at lova må gjelde</w:t>
      </w:r>
      <w:r w:rsidR="00650938" w:rsidRPr="00620219">
        <w:rPr>
          <w:lang w:val="nn-NO"/>
        </w:rPr>
        <w:t xml:space="preserve"> òg private tenesteytarar særleg innan utdanning og helse, og privat</w:t>
      </w:r>
      <w:r>
        <w:rPr>
          <w:lang w:val="nn-NO"/>
        </w:rPr>
        <w:t>e som utfører tenester på vegne</w:t>
      </w:r>
      <w:r w:rsidR="00650938" w:rsidRPr="00620219">
        <w:rPr>
          <w:lang w:val="nn-NO"/>
        </w:rPr>
        <w:t xml:space="preserve"> av det offentlege. LDO var i tillegg opptatt av at lova understrekar at kvalifisert tolk skal brukast når minst ein av partane </w:t>
      </w:r>
      <w:r w:rsidR="00CA7580">
        <w:rPr>
          <w:lang w:val="nn-NO"/>
        </w:rPr>
        <w:t>ønskjer</w:t>
      </w:r>
      <w:r w:rsidR="00650938" w:rsidRPr="00620219">
        <w:rPr>
          <w:lang w:val="nn-NO"/>
        </w:rPr>
        <w:t xml:space="preserve"> det, og at unntak </w:t>
      </w:r>
      <w:r w:rsidR="00650938" w:rsidRPr="00620219">
        <w:rPr>
          <w:lang w:val="nn-NO"/>
        </w:rPr>
        <w:lastRenderedPageBreak/>
        <w:t xml:space="preserve">må formulerast slik at dei ikkje vatnar ut målet om å få bukt med underbruken av kvalifisert tolk. </w:t>
      </w:r>
    </w:p>
    <w:p w:rsidR="00650938" w:rsidRPr="00620219" w:rsidRDefault="00650938" w:rsidP="00650938">
      <w:pPr>
        <w:rPr>
          <w:lang w:val="nn-NO"/>
        </w:rPr>
      </w:pPr>
    </w:p>
    <w:p w:rsidR="00650938" w:rsidRPr="00620219" w:rsidRDefault="00650938" w:rsidP="00650938">
      <w:pPr>
        <w:rPr>
          <w:b/>
          <w:lang w:val="nn-NO"/>
        </w:rPr>
      </w:pPr>
      <w:r w:rsidRPr="00620219">
        <w:rPr>
          <w:b/>
          <w:lang w:val="nn-NO"/>
        </w:rPr>
        <w:t>Forslag til lov om integrering og fo</w:t>
      </w:r>
      <w:r w:rsidR="0053067B">
        <w:rPr>
          <w:b/>
          <w:lang w:val="nn-NO"/>
        </w:rPr>
        <w:t>rslag til endringar i statsborgarlova</w:t>
      </w:r>
      <w:r w:rsidRPr="00620219">
        <w:rPr>
          <w:b/>
          <w:lang w:val="nn-NO"/>
        </w:rPr>
        <w:t xml:space="preserve"> </w:t>
      </w:r>
    </w:p>
    <w:p w:rsidR="00650938" w:rsidRPr="00AE02D3" w:rsidRDefault="00650938" w:rsidP="00650938">
      <w:pPr>
        <w:rPr>
          <w:lang w:val="nn-NO"/>
        </w:rPr>
      </w:pPr>
      <w:r w:rsidRPr="00620219">
        <w:rPr>
          <w:lang w:val="nn-NO"/>
        </w:rPr>
        <w:t>LDO skre</w:t>
      </w:r>
      <w:r w:rsidR="0053067B">
        <w:rPr>
          <w:lang w:val="nn-NO"/>
        </w:rPr>
        <w:t>i</w:t>
      </w:r>
      <w:r w:rsidRPr="00620219">
        <w:rPr>
          <w:lang w:val="nn-NO"/>
        </w:rPr>
        <w:t>v i v</w:t>
      </w:r>
      <w:r w:rsidR="0053067B">
        <w:rPr>
          <w:lang w:val="nn-NO"/>
        </w:rPr>
        <w:t>årt høyringssvar til regjeringa sitt</w:t>
      </w:r>
      <w:r w:rsidRPr="00620219">
        <w:rPr>
          <w:lang w:val="nn-NO"/>
        </w:rPr>
        <w:t xml:space="preserve"> forslag </w:t>
      </w:r>
      <w:r w:rsidR="0053067B">
        <w:rPr>
          <w:lang w:val="nn-NO"/>
        </w:rPr>
        <w:t>til lov om integrering at vi er</w:t>
      </w:r>
      <w:r w:rsidRPr="00620219">
        <w:rPr>
          <w:lang w:val="nn-NO"/>
        </w:rPr>
        <w:t xml:space="preserve"> positive til at introduksjonsprogrammet i større grad skal </w:t>
      </w:r>
      <w:r w:rsidR="0053067B">
        <w:rPr>
          <w:lang w:val="nn-NO"/>
        </w:rPr>
        <w:t>bli tilpassa kvar enkelt</w:t>
      </w:r>
      <w:r w:rsidRPr="00620219">
        <w:rPr>
          <w:lang w:val="nn-NO"/>
        </w:rPr>
        <w:t>. Vi</w:t>
      </w:r>
      <w:r w:rsidR="00F5137D">
        <w:rPr>
          <w:lang w:val="nn-NO"/>
        </w:rPr>
        <w:t xml:space="preserve"> tilrådde at dette bør inkludere</w:t>
      </w:r>
      <w:r w:rsidRPr="00620219">
        <w:rPr>
          <w:lang w:val="nn-NO"/>
        </w:rPr>
        <w:t xml:space="preserve"> eit deltidstilbod til dei som har behov for det, og at o</w:t>
      </w:r>
      <w:r w:rsidR="00F5137D">
        <w:rPr>
          <w:lang w:val="nn-NO"/>
        </w:rPr>
        <w:t>gså lengda på programmet må vere</w:t>
      </w:r>
      <w:r w:rsidRPr="00620219">
        <w:rPr>
          <w:lang w:val="nn-NO"/>
        </w:rPr>
        <w:t xml:space="preserve"> indiv</w:t>
      </w:r>
      <w:r w:rsidR="00F5137D">
        <w:rPr>
          <w:lang w:val="nn-NO"/>
        </w:rPr>
        <w:t>iduelt tilpa</w:t>
      </w:r>
      <w:r w:rsidR="007B7CE9">
        <w:rPr>
          <w:lang w:val="nn-NO"/>
        </w:rPr>
        <w:t>ssa. Ikkje minst er LDO oppteken</w:t>
      </w:r>
      <w:r w:rsidRPr="00620219">
        <w:rPr>
          <w:lang w:val="nn-NO"/>
        </w:rPr>
        <w:t xml:space="preserve"> av at kravet til minimumskunnskapar i norsk må ta omsyn til</w:t>
      </w:r>
      <w:r w:rsidR="00F5137D">
        <w:rPr>
          <w:lang w:val="nn-NO"/>
        </w:rPr>
        <w:t xml:space="preserve"> fleire individuelle føresetnada</w:t>
      </w:r>
      <w:r w:rsidRPr="00620219">
        <w:rPr>
          <w:lang w:val="nn-NO"/>
        </w:rPr>
        <w:t xml:space="preserve">r enn berre </w:t>
      </w:r>
      <w:r w:rsidR="00F5137D">
        <w:rPr>
          <w:lang w:val="nn-NO"/>
        </w:rPr>
        <w:t xml:space="preserve">nivået på utdanninga. </w:t>
      </w:r>
      <w:r w:rsidR="00F5137D" w:rsidRPr="00AE02D3">
        <w:rPr>
          <w:lang w:val="nn-NO"/>
        </w:rPr>
        <w:t>LDO savnar</w:t>
      </w:r>
      <w:r w:rsidR="00BD54B7" w:rsidRPr="00AE02D3">
        <w:rPr>
          <w:lang w:val="nn-NO"/>
        </w:rPr>
        <w:t xml:space="preserve"> e</w:t>
      </w:r>
      <w:r w:rsidR="00F5137D" w:rsidRPr="00AE02D3">
        <w:rPr>
          <w:lang w:val="nn-NO"/>
        </w:rPr>
        <w:t>in grundiga</w:t>
      </w:r>
      <w:r w:rsidR="00BD54B7" w:rsidRPr="00AE02D3">
        <w:rPr>
          <w:lang w:val="nn-NO"/>
        </w:rPr>
        <w:t>re analy</w:t>
      </w:r>
      <w:r w:rsidR="00F5137D" w:rsidRPr="00AE02D3">
        <w:rPr>
          <w:lang w:val="nn-NO"/>
        </w:rPr>
        <w:t>se av om forslaget til eit skarpare språkkrav i statsborgarlova</w:t>
      </w:r>
      <w:r w:rsidR="00BD54B7" w:rsidRPr="00AE02D3">
        <w:rPr>
          <w:lang w:val="nn-NO"/>
        </w:rPr>
        <w:t xml:space="preserve"> vil slå </w:t>
      </w:r>
      <w:r w:rsidR="009C28DC" w:rsidRPr="00AE02D3">
        <w:rPr>
          <w:lang w:val="nn-NO"/>
        </w:rPr>
        <w:t>særleg</w:t>
      </w:r>
      <w:r w:rsidR="00BD54B7" w:rsidRPr="00AE02D3">
        <w:rPr>
          <w:lang w:val="nn-NO"/>
        </w:rPr>
        <w:t xml:space="preserve"> uheldig ut for enkelte grupper.</w:t>
      </w:r>
      <w:r w:rsidRPr="00AE02D3">
        <w:rPr>
          <w:lang w:val="nn-NO"/>
        </w:rPr>
        <w:t xml:space="preserve"> </w:t>
      </w:r>
    </w:p>
    <w:p w:rsidR="00085AB7" w:rsidRPr="00AE02D3" w:rsidRDefault="00085AB7" w:rsidP="00650938">
      <w:pPr>
        <w:rPr>
          <w:lang w:val="nn-NO"/>
        </w:rPr>
      </w:pPr>
    </w:p>
    <w:p w:rsidR="00650938" w:rsidRPr="00620219" w:rsidRDefault="00650938" w:rsidP="00650938">
      <w:pPr>
        <w:rPr>
          <w:b/>
          <w:lang w:val="nn-NO"/>
        </w:rPr>
      </w:pPr>
      <w:r w:rsidRPr="00620219">
        <w:rPr>
          <w:b/>
          <w:lang w:val="nn-NO"/>
        </w:rPr>
        <w:t>Forslag ti</w:t>
      </w:r>
      <w:r w:rsidR="00C26418">
        <w:rPr>
          <w:b/>
          <w:lang w:val="nn-NO"/>
        </w:rPr>
        <w:t>l endringar i sosialtenestelova</w:t>
      </w:r>
      <w:r w:rsidRPr="00620219">
        <w:rPr>
          <w:b/>
          <w:lang w:val="nn-NO"/>
        </w:rPr>
        <w:t xml:space="preserve"> </w:t>
      </w:r>
    </w:p>
    <w:p w:rsidR="00650938" w:rsidRPr="00620219" w:rsidRDefault="00650938" w:rsidP="00650938">
      <w:pPr>
        <w:rPr>
          <w:b/>
          <w:lang w:val="nn-NO"/>
        </w:rPr>
      </w:pPr>
      <w:r w:rsidRPr="00620219">
        <w:rPr>
          <w:lang w:val="nn-NO"/>
        </w:rPr>
        <w:t>Ombodet er samd i</w:t>
      </w:r>
      <w:r w:rsidR="00C26418">
        <w:rPr>
          <w:lang w:val="nn-NO"/>
        </w:rPr>
        <w:t xml:space="preserve"> behovet for tiltak som kan auke kunnskapane i norsk</w:t>
      </w:r>
      <w:r w:rsidRPr="00620219">
        <w:rPr>
          <w:lang w:val="nn-NO"/>
        </w:rPr>
        <w:t xml:space="preserve"> og </w:t>
      </w:r>
      <w:r w:rsidR="00C26418">
        <w:rPr>
          <w:lang w:val="nn-NO"/>
        </w:rPr>
        <w:t xml:space="preserve">som kan fremje </w:t>
      </w:r>
      <w:r w:rsidRPr="00620219">
        <w:rPr>
          <w:lang w:val="nn-NO"/>
        </w:rPr>
        <w:t>deltaking i arbeidslivet for innvandrarar flest. Det var utgangspunktet for høy</w:t>
      </w:r>
      <w:r w:rsidR="00C26418">
        <w:rPr>
          <w:lang w:val="nn-NO"/>
        </w:rPr>
        <w:t>ringssvaret vårt til regjeringa sitt</w:t>
      </w:r>
      <w:r w:rsidRPr="00620219">
        <w:rPr>
          <w:lang w:val="nn-NO"/>
        </w:rPr>
        <w:t xml:space="preserve"> forslag om endringar i sosialtenestelova om opplæring i norsk og vilkår for ø</w:t>
      </w:r>
      <w:r w:rsidR="00B0452E">
        <w:rPr>
          <w:lang w:val="nn-NO"/>
        </w:rPr>
        <w:t xml:space="preserve">konomisk sosialhjelp. Vi peika </w:t>
      </w:r>
      <w:r w:rsidRPr="00620219">
        <w:rPr>
          <w:lang w:val="nn-NO"/>
        </w:rPr>
        <w:t xml:space="preserve">likevel </w:t>
      </w:r>
      <w:r w:rsidR="00B0452E">
        <w:rPr>
          <w:lang w:val="nn-NO"/>
        </w:rPr>
        <w:t xml:space="preserve">på </w:t>
      </w:r>
      <w:r w:rsidRPr="00620219">
        <w:rPr>
          <w:lang w:val="nn-NO"/>
        </w:rPr>
        <w:t>at det føreset tilgang til fagleg god norskopplæring i heile landet, og at det</w:t>
      </w:r>
      <w:r w:rsidR="00B0452E">
        <w:rPr>
          <w:lang w:val="nn-NO"/>
        </w:rPr>
        <w:t xml:space="preserve"> må bli tatt høgde for at årsake</w:t>
      </w:r>
      <w:r w:rsidRPr="00620219">
        <w:rPr>
          <w:lang w:val="nn-NO"/>
        </w:rPr>
        <w:t>ne til manglande deltaking i abeidslivet ofte er samans</w:t>
      </w:r>
      <w:r w:rsidR="00B0452E">
        <w:rPr>
          <w:lang w:val="nn-NO"/>
        </w:rPr>
        <w:t>ette. I mange tilfelle er det svært</w:t>
      </w:r>
      <w:r w:rsidRPr="00620219">
        <w:rPr>
          <w:lang w:val="nn-NO"/>
        </w:rPr>
        <w:t xml:space="preserve"> vanskeleg å fastslå om manglande norskkunnskapar åleine er årsak</w:t>
      </w:r>
      <w:r w:rsidR="00B0452E">
        <w:rPr>
          <w:lang w:val="nn-NO"/>
        </w:rPr>
        <w:t xml:space="preserve"> til at ein person ikkje er sjølv</w:t>
      </w:r>
      <w:r w:rsidRPr="00620219">
        <w:rPr>
          <w:lang w:val="nn-NO"/>
        </w:rPr>
        <w:t>førsørg</w:t>
      </w:r>
      <w:r w:rsidR="00B0452E">
        <w:rPr>
          <w:lang w:val="nn-NO"/>
        </w:rPr>
        <w:t>jan</w:t>
      </w:r>
      <w:r w:rsidR="00B62819">
        <w:rPr>
          <w:lang w:val="nn-NO"/>
        </w:rPr>
        <w:t>de. LDO uttrykte kritisk mistru</w:t>
      </w:r>
      <w:r w:rsidRPr="00620219">
        <w:rPr>
          <w:lang w:val="nn-NO"/>
        </w:rPr>
        <w:t xml:space="preserve"> til å erstatte </w:t>
      </w:r>
      <w:r w:rsidR="005F621B">
        <w:rPr>
          <w:lang w:val="nn-NO"/>
        </w:rPr>
        <w:t>nove</w:t>
      </w:r>
      <w:r w:rsidR="00911267">
        <w:rPr>
          <w:lang w:val="nn-NO"/>
        </w:rPr>
        <w:t xml:space="preserve">rande skjøn i vurderinga </w:t>
      </w:r>
      <w:r w:rsidRPr="00620219">
        <w:rPr>
          <w:lang w:val="nn-NO"/>
        </w:rPr>
        <w:t xml:space="preserve">av behov for stønad med eit obligatorisk krav om norskopplæring. </w:t>
      </w:r>
    </w:p>
    <w:p w:rsidR="00C267AF" w:rsidRDefault="00C267AF" w:rsidP="00650938">
      <w:pPr>
        <w:rPr>
          <w:b/>
          <w:lang w:val="nn-NO"/>
        </w:rPr>
      </w:pPr>
    </w:p>
    <w:p w:rsidR="00650938" w:rsidRDefault="00C267AF" w:rsidP="00650938">
      <w:pPr>
        <w:rPr>
          <w:b/>
          <w:lang w:val="nn-NO"/>
        </w:rPr>
      </w:pPr>
      <w:r>
        <w:rPr>
          <w:b/>
          <w:lang w:val="nn-NO"/>
        </w:rPr>
        <w:t>H</w:t>
      </w:r>
      <w:r w:rsidR="00650938" w:rsidRPr="003D225A">
        <w:rPr>
          <w:b/>
          <w:lang w:val="nn-NO"/>
        </w:rPr>
        <w:t>andlingsplan om rasisme og diskr</w:t>
      </w:r>
      <w:r w:rsidR="00650938">
        <w:rPr>
          <w:b/>
          <w:lang w:val="nn-NO"/>
        </w:rPr>
        <w:t>i</w:t>
      </w:r>
      <w:r w:rsidR="00650938" w:rsidRPr="003D225A">
        <w:rPr>
          <w:b/>
          <w:lang w:val="nn-NO"/>
        </w:rPr>
        <w:t xml:space="preserve">minering på grunn av etnisitet og religion </w:t>
      </w:r>
    </w:p>
    <w:p w:rsidR="00623E7A" w:rsidRDefault="00650938" w:rsidP="00623E7A">
      <w:pPr>
        <w:rPr>
          <w:lang w:val="nn-NO"/>
        </w:rPr>
      </w:pPr>
      <w:r w:rsidRPr="00620219">
        <w:rPr>
          <w:lang w:val="nn-NO"/>
        </w:rPr>
        <w:t xml:space="preserve">LDO gav </w:t>
      </w:r>
      <w:r w:rsidR="00C267AF">
        <w:rPr>
          <w:lang w:val="nn-NO"/>
        </w:rPr>
        <w:t xml:space="preserve">eit </w:t>
      </w:r>
      <w:r w:rsidRPr="00620219">
        <w:rPr>
          <w:lang w:val="nn-NO"/>
        </w:rPr>
        <w:t>s</w:t>
      </w:r>
      <w:r w:rsidR="0009240C">
        <w:rPr>
          <w:lang w:val="nn-NO"/>
        </w:rPr>
        <w:t>vært</w:t>
      </w:r>
      <w:r w:rsidRPr="00620219">
        <w:rPr>
          <w:lang w:val="nn-NO"/>
        </w:rPr>
        <w:t xml:space="preserve"> omfatt</w:t>
      </w:r>
      <w:r w:rsidR="0009240C">
        <w:rPr>
          <w:lang w:val="nn-NO"/>
        </w:rPr>
        <w:t>ande innspel til regjeringa si</w:t>
      </w:r>
      <w:r w:rsidR="00FF61E1">
        <w:rPr>
          <w:lang w:val="nn-NO"/>
        </w:rPr>
        <w:t>n</w:t>
      </w:r>
      <w:r w:rsidR="0009240C">
        <w:rPr>
          <w:lang w:val="nn-NO"/>
        </w:rPr>
        <w:t xml:space="preserve"> handlingsplan</w:t>
      </w:r>
      <w:r w:rsidRPr="00620219">
        <w:rPr>
          <w:lang w:val="nn-NO"/>
        </w:rPr>
        <w:t xml:space="preserve"> mot rasisme og diskriminering på grunn a</w:t>
      </w:r>
      <w:r w:rsidR="007718D1">
        <w:rPr>
          <w:lang w:val="nn-NO"/>
        </w:rPr>
        <w:t xml:space="preserve">v etnisitet og religion. Vi er </w:t>
      </w:r>
      <w:r w:rsidRPr="00620219">
        <w:rPr>
          <w:lang w:val="nn-NO"/>
        </w:rPr>
        <w:t>posi</w:t>
      </w:r>
      <w:r w:rsidR="007718D1">
        <w:rPr>
          <w:lang w:val="nn-NO"/>
        </w:rPr>
        <w:t>tive til at det vert laga ei</w:t>
      </w:r>
      <w:r w:rsidR="00FF61E1">
        <w:rPr>
          <w:lang w:val="nn-NO"/>
        </w:rPr>
        <w:t>n</w:t>
      </w:r>
      <w:r w:rsidRPr="00620219">
        <w:rPr>
          <w:lang w:val="nn-NO"/>
        </w:rPr>
        <w:t xml:space="preserve"> slik plan, og understrek</w:t>
      </w:r>
      <w:r w:rsidR="001B5F56">
        <w:rPr>
          <w:lang w:val="nn-NO"/>
        </w:rPr>
        <w:t>a kor viktig det er at regjeringa særleg tek</w:t>
      </w:r>
      <w:r w:rsidR="00832D14">
        <w:rPr>
          <w:lang w:val="nn-NO"/>
        </w:rPr>
        <w:t xml:space="preserve"> tak i muslimfiendt</w:t>
      </w:r>
      <w:r w:rsidR="00FF61E1">
        <w:rPr>
          <w:lang w:val="nn-NO"/>
        </w:rPr>
        <w:t>s</w:t>
      </w:r>
      <w:r w:rsidR="00832D14">
        <w:rPr>
          <w:lang w:val="nn-NO"/>
        </w:rPr>
        <w:t xml:space="preserve">lege haldningar fordi </w:t>
      </w:r>
      <w:r w:rsidRPr="00620219">
        <w:rPr>
          <w:lang w:val="nn-NO"/>
        </w:rPr>
        <w:t xml:space="preserve">det har eit stort omfang. </w:t>
      </w:r>
      <w:r w:rsidR="00FF61E1">
        <w:rPr>
          <w:lang w:val="nn-NO"/>
        </w:rPr>
        <w:t>Vi gav innspel til planen</w:t>
      </w:r>
      <w:r w:rsidR="00832D14">
        <w:rPr>
          <w:lang w:val="nn-NO"/>
        </w:rPr>
        <w:t xml:space="preserve"> si</w:t>
      </w:r>
      <w:r w:rsidR="003761BA">
        <w:rPr>
          <w:lang w:val="nn-NO"/>
        </w:rPr>
        <w:t>n</w:t>
      </w:r>
      <w:r w:rsidRPr="001E3D03">
        <w:rPr>
          <w:lang w:val="nn-NO"/>
        </w:rPr>
        <w:t xml:space="preserve"> innretning, målgrupper, omgrep og kunnskapsgrunnlag og gav ei lang rekk</w:t>
      </w:r>
      <w:r w:rsidR="003276EB">
        <w:rPr>
          <w:lang w:val="nn-NO"/>
        </w:rPr>
        <w:t>j</w:t>
      </w:r>
      <w:r w:rsidRPr="001E3D03">
        <w:rPr>
          <w:lang w:val="nn-NO"/>
        </w:rPr>
        <w:t>e tilrådingar.</w:t>
      </w:r>
      <w:r w:rsidR="003276EB">
        <w:rPr>
          <w:lang w:val="nn-NO"/>
        </w:rPr>
        <w:t xml:space="preserve"> LDO tilrådde mellom anna å gje</w:t>
      </w:r>
      <w:r w:rsidR="00DD6CE4">
        <w:rPr>
          <w:lang w:val="nn-NO"/>
        </w:rPr>
        <w:t xml:space="preserve"> fri rettshjelp i saker om diskriminering, </w:t>
      </w:r>
      <w:r w:rsidR="003F1C84">
        <w:rPr>
          <w:lang w:val="nn-NO"/>
        </w:rPr>
        <w:t>rasistiske hatytringa</w:t>
      </w:r>
      <w:r w:rsidR="00623E7A" w:rsidRPr="00B42DBC">
        <w:rPr>
          <w:lang w:val="nn-NO"/>
        </w:rPr>
        <w:t>r og hatkriminalite</w:t>
      </w:r>
      <w:r w:rsidR="00863915">
        <w:rPr>
          <w:lang w:val="nn-NO"/>
        </w:rPr>
        <w:t>t. Vidare tilrådde vi å opprette</w:t>
      </w:r>
      <w:r w:rsidR="00623E7A" w:rsidRPr="00B42DBC">
        <w:rPr>
          <w:lang w:val="nn-NO"/>
        </w:rPr>
        <w:t xml:space="preserve"> forum for involvering og dialog mellom styresmakter og muslimske trussamfunn og organisasjonar, både nasjonalt og lokalt. Vi spelte også inn at elevar i både grunnskulen og i vidaregåande skule bør få m</w:t>
      </w:r>
      <w:r w:rsidR="00863915">
        <w:rPr>
          <w:lang w:val="nn-NO"/>
        </w:rPr>
        <w:t>eir oppdatert kunnskap om samane si</w:t>
      </w:r>
      <w:r w:rsidR="00623E7A" w:rsidRPr="00B42DBC">
        <w:rPr>
          <w:lang w:val="nn-NO"/>
        </w:rPr>
        <w:t xml:space="preserve"> historie og om ulike samiske kulturelle tradisjonar og uttrykk.</w:t>
      </w:r>
    </w:p>
    <w:p w:rsidR="00750C9E" w:rsidRDefault="00750C9E" w:rsidP="00750C9E">
      <w:pPr>
        <w:rPr>
          <w:lang w:val="nn-NO"/>
        </w:rPr>
      </w:pPr>
      <w:r>
        <w:rPr>
          <w:b/>
          <w:lang w:val="nn-NO"/>
        </w:rPr>
        <w:t>K</w:t>
      </w:r>
      <w:r w:rsidRPr="003D225A">
        <w:rPr>
          <w:b/>
          <w:lang w:val="nn-NO"/>
        </w:rPr>
        <w:t>vinner i fengsel</w:t>
      </w:r>
      <w:r>
        <w:rPr>
          <w:b/>
          <w:lang w:val="nn-NO"/>
        </w:rPr>
        <w:t xml:space="preserve"> </w:t>
      </w:r>
    </w:p>
    <w:p w:rsidR="00750C9E" w:rsidRPr="0013333D" w:rsidRDefault="000D2E22" w:rsidP="00750C9E">
      <w:pPr>
        <w:rPr>
          <w:sz w:val="22"/>
          <w:szCs w:val="22"/>
          <w:lang w:val="nn-NO"/>
        </w:rPr>
      </w:pPr>
      <w:r>
        <w:rPr>
          <w:lang w:val="nn-NO"/>
        </w:rPr>
        <w:t>Ombodet deltok på ei</w:t>
      </w:r>
      <w:r w:rsidR="00750C9E" w:rsidRPr="0013333D">
        <w:rPr>
          <w:lang w:val="nn-NO"/>
        </w:rPr>
        <w:t xml:space="preserve"> høyring i Justiskomiteen </w:t>
      </w:r>
      <w:r w:rsidR="00750C9E">
        <w:rPr>
          <w:lang w:val="nn-NO"/>
        </w:rPr>
        <w:t xml:space="preserve">på Stortinget </w:t>
      </w:r>
      <w:r w:rsidR="00750C9E" w:rsidRPr="0013333D">
        <w:rPr>
          <w:lang w:val="nn-NO"/>
        </w:rPr>
        <w:t xml:space="preserve">i samband med </w:t>
      </w:r>
      <w:r>
        <w:rPr>
          <w:lang w:val="nn-NO"/>
        </w:rPr>
        <w:t xml:space="preserve">at </w:t>
      </w:r>
      <w:r w:rsidR="00750C9E">
        <w:rPr>
          <w:lang w:val="nn-NO"/>
        </w:rPr>
        <w:t>r</w:t>
      </w:r>
      <w:r>
        <w:rPr>
          <w:lang w:val="nn-NO"/>
        </w:rPr>
        <w:t>egjeringa la fram s</w:t>
      </w:r>
      <w:r w:rsidR="00750C9E" w:rsidRPr="0013333D">
        <w:rPr>
          <w:lang w:val="nn-NO"/>
        </w:rPr>
        <w:t>tatsbudsjettet for 2020. O</w:t>
      </w:r>
      <w:r>
        <w:rPr>
          <w:lang w:val="nn-NO"/>
        </w:rPr>
        <w:t>mbodet snakka om soningstilhøva</w:t>
      </w:r>
      <w:r w:rsidR="00750C9E" w:rsidRPr="0013333D">
        <w:rPr>
          <w:lang w:val="nn-NO"/>
        </w:rPr>
        <w:t xml:space="preserve"> for kvinnelege innsette i norske fengsel. Ombodet peika på at soningsforholda for kvinnene no er alvorleg. Dei har ikkje eit jamstilt soningstilbod</w:t>
      </w:r>
      <w:r w:rsidR="00750C9E">
        <w:rPr>
          <w:lang w:val="nn-NO"/>
        </w:rPr>
        <w:t xml:space="preserve"> samanlikna med mannlege innsette</w:t>
      </w:r>
      <w:r w:rsidR="00750C9E" w:rsidRPr="0013333D">
        <w:rPr>
          <w:lang w:val="nn-NO"/>
        </w:rPr>
        <w:t>. Ombodet meiner mellom anna at dei kvinnelege innsette står i fare for å bli meir isolert enn m</w:t>
      </w:r>
      <w:r w:rsidR="00750C9E">
        <w:rPr>
          <w:lang w:val="nn-NO"/>
        </w:rPr>
        <w:t>ennene</w:t>
      </w:r>
      <w:r w:rsidR="00750C9E" w:rsidRPr="0013333D">
        <w:rPr>
          <w:lang w:val="nn-NO"/>
        </w:rPr>
        <w:t>. Dei ha</w:t>
      </w:r>
      <w:r>
        <w:rPr>
          <w:lang w:val="nn-NO"/>
        </w:rPr>
        <w:t>r dårlegere tilbod om ulike program</w:t>
      </w:r>
      <w:r w:rsidR="00750C9E" w:rsidRPr="0013333D">
        <w:rPr>
          <w:lang w:val="nn-NO"/>
        </w:rPr>
        <w:t xml:space="preserve"> og rusmestring. Kvinner i fengsel er i mindretal og dette inneber at dei </w:t>
      </w:r>
      <w:r w:rsidR="00750C9E">
        <w:rPr>
          <w:lang w:val="nn-NO"/>
        </w:rPr>
        <w:t xml:space="preserve">ofte </w:t>
      </w:r>
      <w:r w:rsidR="00750C9E" w:rsidRPr="0013333D">
        <w:rPr>
          <w:lang w:val="nn-NO"/>
        </w:rPr>
        <w:t xml:space="preserve">må sone langt unna familie, barn og nettverk. Ombodet peka på at dei kvinnelege innsette må få tilbod om kompenserande tiltak, som til dømes moglegheit for skype-samtalar og utvida moglegheiter for telefon og vitjing. På sikt må kriminalomsorga </w:t>
      </w:r>
      <w:r w:rsidR="003D1F07">
        <w:rPr>
          <w:lang w:val="nn-NO"/>
        </w:rPr>
        <w:t>sørgje</w:t>
      </w:r>
      <w:r w:rsidR="00750C9E" w:rsidRPr="0013333D">
        <w:rPr>
          <w:lang w:val="nn-NO"/>
        </w:rPr>
        <w:t xml:space="preserve"> for betre geografisk spreiing av kvinnefengsla og at forholda for psykisk s</w:t>
      </w:r>
      <w:r w:rsidR="00750C9E">
        <w:rPr>
          <w:lang w:val="nn-NO"/>
        </w:rPr>
        <w:t>ju</w:t>
      </w:r>
      <w:r w:rsidR="00750C9E" w:rsidRPr="0013333D">
        <w:rPr>
          <w:lang w:val="nn-NO"/>
        </w:rPr>
        <w:t xml:space="preserve">ke kvinner </w:t>
      </w:r>
      <w:r w:rsidR="00EB7394">
        <w:rPr>
          <w:lang w:val="nn-NO"/>
        </w:rPr>
        <w:t>blir betre.</w:t>
      </w:r>
      <w:r w:rsidR="00750C9E" w:rsidRPr="0013333D">
        <w:rPr>
          <w:lang w:val="nn-NO"/>
        </w:rPr>
        <w:t xml:space="preserve">  </w:t>
      </w:r>
    </w:p>
    <w:p w:rsidR="00D5322F" w:rsidRPr="00AE02D3" w:rsidRDefault="00750006" w:rsidP="00650938">
      <w:r w:rsidRPr="00AE02D3">
        <w:lastRenderedPageBreak/>
        <w:t>Se våre høyrings</w:t>
      </w:r>
      <w:r w:rsidR="0044135D" w:rsidRPr="00AE02D3">
        <w:t>s</w:t>
      </w:r>
      <w:r w:rsidRPr="00AE02D3">
        <w:t xml:space="preserve">var på </w:t>
      </w:r>
      <w:hyperlink r:id="rId12" w:history="1">
        <w:r w:rsidRPr="00AE02D3">
          <w:rPr>
            <w:rStyle w:val="Hyperkobling"/>
          </w:rPr>
          <w:t>www.ldo.no</w:t>
        </w:r>
      </w:hyperlink>
      <w:r w:rsidRPr="00AE02D3">
        <w:t>.</w:t>
      </w:r>
    </w:p>
    <w:p w:rsidR="00750006" w:rsidRPr="00AE02D3" w:rsidRDefault="00750006" w:rsidP="00650938"/>
    <w:p w:rsidR="00650938" w:rsidRPr="006202FB" w:rsidRDefault="00650938" w:rsidP="00650938">
      <w:pPr>
        <w:pStyle w:val="Overskrift2"/>
      </w:pPr>
      <w:bookmarkStart w:id="14" w:name="_Toc34915959"/>
      <w:r w:rsidRPr="006202FB">
        <w:t>LDO som kunnskapsorganisasjon</w:t>
      </w:r>
      <w:bookmarkEnd w:id="14"/>
    </w:p>
    <w:p w:rsidR="00650938" w:rsidRDefault="00650938" w:rsidP="00650938">
      <w:pPr>
        <w:rPr>
          <w:lang w:val="nn-NO"/>
        </w:rPr>
      </w:pPr>
      <w:r w:rsidRPr="006202FB">
        <w:rPr>
          <w:lang w:val="nn-NO"/>
        </w:rPr>
        <w:t>For å nå måla våre er de</w:t>
      </w:r>
      <w:r>
        <w:rPr>
          <w:lang w:val="nn-NO"/>
        </w:rPr>
        <w:t>t viktig at vi stadig utviklar ombodet</w:t>
      </w:r>
      <w:r w:rsidRPr="006202FB">
        <w:rPr>
          <w:lang w:val="nn-NO"/>
        </w:rPr>
        <w:t xml:space="preserve"> som kunnskapsorganisasjon. Vi skal doku</w:t>
      </w:r>
      <w:r w:rsidR="0044135D">
        <w:rPr>
          <w:lang w:val="nn-NO"/>
        </w:rPr>
        <w:t>me</w:t>
      </w:r>
      <w:r w:rsidR="00E57AF3">
        <w:rPr>
          <w:lang w:val="nn-NO"/>
        </w:rPr>
        <w:t>nt</w:t>
      </w:r>
      <w:r w:rsidRPr="006202FB">
        <w:rPr>
          <w:lang w:val="nn-NO"/>
        </w:rPr>
        <w:t xml:space="preserve">ere, systematisere og analysere kunnskap om </w:t>
      </w:r>
      <w:r w:rsidR="00F43917">
        <w:rPr>
          <w:lang w:val="nn-NO"/>
        </w:rPr>
        <w:t>tilstanden på ulike felt</w:t>
      </w:r>
      <w:r w:rsidR="002F3647">
        <w:rPr>
          <w:lang w:val="nn-NO"/>
        </w:rPr>
        <w:t>, samt</w:t>
      </w:r>
      <w:r w:rsidR="00F43917">
        <w:rPr>
          <w:lang w:val="nn-NO"/>
        </w:rPr>
        <w:t xml:space="preserve"> </w:t>
      </w:r>
      <w:r w:rsidR="00460697">
        <w:rPr>
          <w:lang w:val="nn-NO"/>
        </w:rPr>
        <w:t xml:space="preserve">kunnskap om </w:t>
      </w:r>
      <w:r w:rsidRPr="006202FB">
        <w:rPr>
          <w:lang w:val="nn-NO"/>
        </w:rPr>
        <w:t xml:space="preserve">kva som </w:t>
      </w:r>
      <w:r w:rsidR="0044135D">
        <w:rPr>
          <w:lang w:val="nn-NO"/>
        </w:rPr>
        <w:t>fremje</w:t>
      </w:r>
      <w:r>
        <w:rPr>
          <w:lang w:val="nn-NO"/>
        </w:rPr>
        <w:t>r</w:t>
      </w:r>
      <w:r w:rsidRPr="006202FB">
        <w:rPr>
          <w:lang w:val="nn-NO"/>
        </w:rPr>
        <w:t xml:space="preserve"> likesti</w:t>
      </w:r>
      <w:r w:rsidR="00F43917">
        <w:rPr>
          <w:lang w:val="nn-NO"/>
        </w:rPr>
        <w:t>lling og hindrar diskriminering. Ombodet skal</w:t>
      </w:r>
      <w:r w:rsidRPr="006202FB">
        <w:rPr>
          <w:lang w:val="nn-NO"/>
        </w:rPr>
        <w:t xml:space="preserve"> bruke dei ulike verkemidla (rettleiing, pådrivaroppgåver, tilsyn og kommunikasjon) effektivt for å oppnå endring.</w:t>
      </w:r>
      <w:r w:rsidR="0044135D">
        <w:rPr>
          <w:lang w:val="nn-NO"/>
        </w:rPr>
        <w:t xml:space="preserve"> Vi arbeider mykje</w:t>
      </w:r>
      <w:r w:rsidR="0061289F">
        <w:rPr>
          <w:lang w:val="nn-NO"/>
        </w:rPr>
        <w:t xml:space="preserve"> på tvers</w:t>
      </w:r>
      <w:r w:rsidR="00FE25F1">
        <w:rPr>
          <w:lang w:val="nn-NO"/>
        </w:rPr>
        <w:t xml:space="preserve"> </w:t>
      </w:r>
      <w:r w:rsidR="0061289F">
        <w:rPr>
          <w:lang w:val="nn-NO"/>
        </w:rPr>
        <w:t xml:space="preserve">av fagområder og </w:t>
      </w:r>
      <w:r w:rsidR="00FA702E">
        <w:rPr>
          <w:lang w:val="nn-NO"/>
        </w:rPr>
        <w:t xml:space="preserve">på tvers av </w:t>
      </w:r>
      <w:r w:rsidR="008E40EE">
        <w:rPr>
          <w:lang w:val="nn-NO"/>
        </w:rPr>
        <w:t>avdelinga</w:t>
      </w:r>
      <w:r w:rsidR="0061289F">
        <w:rPr>
          <w:lang w:val="nn-NO"/>
        </w:rPr>
        <w:t>r.</w:t>
      </w:r>
    </w:p>
    <w:p w:rsidR="00FE25F1" w:rsidRPr="00AE02D3" w:rsidRDefault="00FE25F1" w:rsidP="00650938">
      <w:pPr>
        <w:rPr>
          <w:lang w:val="nn-NO"/>
        </w:rPr>
      </w:pPr>
      <w:r w:rsidRPr="006202FB">
        <w:rPr>
          <w:lang w:val="nn-NO"/>
        </w:rPr>
        <w:t>Vi har eigne fagansva</w:t>
      </w:r>
      <w:r>
        <w:rPr>
          <w:lang w:val="nn-NO"/>
        </w:rPr>
        <w:t xml:space="preserve">rlege på våre kjerneområder og </w:t>
      </w:r>
      <w:r w:rsidR="002F3647">
        <w:rPr>
          <w:lang w:val="nn-NO"/>
        </w:rPr>
        <w:t xml:space="preserve">på </w:t>
      </w:r>
      <w:r>
        <w:rPr>
          <w:lang w:val="nn-NO"/>
        </w:rPr>
        <w:t>utvalde tema vi arbeider</w:t>
      </w:r>
      <w:r w:rsidRPr="006202FB">
        <w:rPr>
          <w:lang w:val="nn-NO"/>
        </w:rPr>
        <w:t xml:space="preserve"> med. Ansvarsområda vert valt ut frå kva tema vi får mange saker på, eller ut frå ei vurdering av at det er behov for meir kunnskap på området. </w:t>
      </w:r>
      <w:r w:rsidR="008E40EE" w:rsidRPr="00AE02D3">
        <w:rPr>
          <w:lang w:val="nn-NO"/>
        </w:rPr>
        <w:t>På enkelte felt laga</w:t>
      </w:r>
      <w:r w:rsidRPr="00AE02D3">
        <w:rPr>
          <w:lang w:val="nn-NO"/>
        </w:rPr>
        <w:t>r vi e</w:t>
      </w:r>
      <w:r w:rsidR="008E40EE" w:rsidRPr="00AE02D3">
        <w:rPr>
          <w:lang w:val="nn-NO"/>
        </w:rPr>
        <w:t>igne fagoppsummeringa</w:t>
      </w:r>
      <w:r w:rsidRPr="00AE02D3">
        <w:rPr>
          <w:lang w:val="nn-NO"/>
        </w:rPr>
        <w:t xml:space="preserve">r, </w:t>
      </w:r>
      <w:r w:rsidR="008E40EE" w:rsidRPr="00AE02D3">
        <w:rPr>
          <w:lang w:val="nn-NO"/>
        </w:rPr>
        <w:t>for eksempel på temaa</w:t>
      </w:r>
      <w:r w:rsidR="002F3647" w:rsidRPr="00AE02D3">
        <w:rPr>
          <w:lang w:val="nn-NO"/>
        </w:rPr>
        <w:t xml:space="preserve"> </w:t>
      </w:r>
      <w:r w:rsidR="008E40EE" w:rsidRPr="00AE02D3">
        <w:rPr>
          <w:lang w:val="nn-NO"/>
        </w:rPr>
        <w:t xml:space="preserve">diskriminering av gravide, likelønn og saker om religion </w:t>
      </w:r>
      <w:r w:rsidR="002F3647" w:rsidRPr="00AE02D3">
        <w:rPr>
          <w:lang w:val="nn-NO"/>
        </w:rPr>
        <w:t>mv.</w:t>
      </w:r>
    </w:p>
    <w:p w:rsidR="00650938" w:rsidRPr="00AE02D3" w:rsidRDefault="00650938" w:rsidP="00650938">
      <w:pPr>
        <w:rPr>
          <w:lang w:val="nn-NO"/>
        </w:rPr>
      </w:pPr>
      <w:r w:rsidRPr="00AE02D3">
        <w:rPr>
          <w:lang w:val="nn-NO"/>
        </w:rPr>
        <w:t>LDO sitt ar</w:t>
      </w:r>
      <w:r w:rsidR="008E40EE" w:rsidRPr="00AE02D3">
        <w:rPr>
          <w:lang w:val="nn-NO"/>
        </w:rPr>
        <w:t>beid tek</w:t>
      </w:r>
      <w:r w:rsidRPr="00AE02D3">
        <w:rPr>
          <w:lang w:val="nn-NO"/>
        </w:rPr>
        <w:t xml:space="preserve"> utgangspunkt i forsking</w:t>
      </w:r>
      <w:r w:rsidR="008E40EE" w:rsidRPr="00AE02D3">
        <w:rPr>
          <w:lang w:val="nn-NO"/>
        </w:rPr>
        <w:t xml:space="preserve"> og anna</w:t>
      </w:r>
      <w:r w:rsidR="002F3647" w:rsidRPr="00AE02D3">
        <w:rPr>
          <w:lang w:val="nn-NO"/>
        </w:rPr>
        <w:t xml:space="preserve"> kunnskap, </w:t>
      </w:r>
      <w:r w:rsidR="004E5574" w:rsidRPr="00AE02D3">
        <w:rPr>
          <w:lang w:val="nn-NO"/>
        </w:rPr>
        <w:t>innspel</w:t>
      </w:r>
      <w:r w:rsidR="002F3647" w:rsidRPr="00AE02D3">
        <w:rPr>
          <w:lang w:val="nn-NO"/>
        </w:rPr>
        <w:t xml:space="preserve"> frå sivilt samfunn</w:t>
      </w:r>
      <w:r w:rsidRPr="00AE02D3">
        <w:rPr>
          <w:lang w:val="nn-NO"/>
        </w:rPr>
        <w:t xml:space="preserve"> og analysar av dei førespurnadene og rettlei</w:t>
      </w:r>
      <w:r w:rsidR="008E40EE" w:rsidRPr="00AE02D3">
        <w:rPr>
          <w:lang w:val="nn-NO"/>
        </w:rPr>
        <w:t>ingssakene vi får. Dei opplysningane</w:t>
      </w:r>
      <w:r w:rsidRPr="00AE02D3">
        <w:rPr>
          <w:lang w:val="nn-NO"/>
        </w:rPr>
        <w:t xml:space="preserve"> ombodet får gjennom førespurnader frå enkeltpersonar, har betyding for </w:t>
      </w:r>
      <w:r w:rsidR="00ED5096" w:rsidRPr="00AE02D3">
        <w:rPr>
          <w:lang w:val="nn-NO"/>
        </w:rPr>
        <w:t xml:space="preserve">det strukturelle arbeidet </w:t>
      </w:r>
      <w:r w:rsidRPr="00AE02D3">
        <w:rPr>
          <w:lang w:val="nn-NO"/>
        </w:rPr>
        <w:t xml:space="preserve">til ombodet. I kombinasjon er dette </w:t>
      </w:r>
      <w:r w:rsidR="00564F54" w:rsidRPr="00AE02D3">
        <w:rPr>
          <w:lang w:val="nn-NO"/>
        </w:rPr>
        <w:t>fundamentet</w:t>
      </w:r>
      <w:r w:rsidRPr="00AE02D3">
        <w:rPr>
          <w:lang w:val="nn-NO"/>
        </w:rPr>
        <w:t xml:space="preserve"> for tilsyns- og pådrivararbeidet.</w:t>
      </w:r>
      <w:r w:rsidR="00FE25F1" w:rsidRPr="00AE02D3">
        <w:rPr>
          <w:lang w:val="nn-NO"/>
        </w:rPr>
        <w:t xml:space="preserve"> </w:t>
      </w:r>
    </w:p>
    <w:p w:rsidR="00460697" w:rsidRPr="00AE02D3" w:rsidRDefault="00650938" w:rsidP="00650938">
      <w:pPr>
        <w:rPr>
          <w:lang w:val="nn-NO"/>
        </w:rPr>
      </w:pPr>
      <w:r w:rsidRPr="00AE02D3">
        <w:rPr>
          <w:lang w:val="nn-NO"/>
        </w:rPr>
        <w:t>Vi arbeider kontinuerleg med å halde oss oppdaterte på forsking inna</w:t>
      </w:r>
      <w:r w:rsidR="004F756A" w:rsidRPr="00AE02D3">
        <w:rPr>
          <w:lang w:val="nn-NO"/>
        </w:rPr>
        <w:t>n</w:t>
      </w:r>
      <w:r w:rsidRPr="00AE02D3">
        <w:rPr>
          <w:lang w:val="nn-NO"/>
        </w:rPr>
        <w:t>for våre område, og er i dialog med ulike forskingsmiljø, mellom anna CORE, Avdeling for kvinnerett, barnerett, likestillings- og diskrimineringsrett (KVIBALD) ved Universitetet i Oslo og Arbeidsforskingsinstituttet.</w:t>
      </w:r>
      <w:r w:rsidR="00BE2558" w:rsidRPr="00AE02D3">
        <w:rPr>
          <w:lang w:val="nn-NO"/>
        </w:rPr>
        <w:t xml:space="preserve"> </w:t>
      </w:r>
    </w:p>
    <w:p w:rsidR="00460697" w:rsidRPr="00AE02D3" w:rsidRDefault="00255232" w:rsidP="00650938">
      <w:pPr>
        <w:rPr>
          <w:lang w:val="nn-NO"/>
        </w:rPr>
      </w:pPr>
      <w:r w:rsidRPr="00AE02D3">
        <w:rPr>
          <w:lang w:val="nn-NO"/>
        </w:rPr>
        <w:t>Ombodet</w:t>
      </w:r>
      <w:r w:rsidR="00045983" w:rsidRPr="00AE02D3">
        <w:rPr>
          <w:lang w:val="nn-NO"/>
        </w:rPr>
        <w:t xml:space="preserve"> sin</w:t>
      </w:r>
      <w:r w:rsidR="00967350" w:rsidRPr="00AE02D3">
        <w:rPr>
          <w:lang w:val="nn-NO"/>
        </w:rPr>
        <w:t xml:space="preserve"> bruk av ekspertseminar har vist seg å </w:t>
      </w:r>
      <w:r w:rsidR="00E57AF3" w:rsidRPr="00AE02D3">
        <w:rPr>
          <w:lang w:val="nn-NO"/>
        </w:rPr>
        <w:t>vere</w:t>
      </w:r>
      <w:r w:rsidR="00967350" w:rsidRPr="00AE02D3">
        <w:rPr>
          <w:lang w:val="nn-NO"/>
        </w:rPr>
        <w:t xml:space="preserve"> e</w:t>
      </w:r>
      <w:r w:rsidR="00271738" w:rsidRPr="00AE02D3">
        <w:rPr>
          <w:lang w:val="nn-NO"/>
        </w:rPr>
        <w:t>i</w:t>
      </w:r>
      <w:r w:rsidR="00967350" w:rsidRPr="00AE02D3">
        <w:rPr>
          <w:lang w:val="nn-NO"/>
        </w:rPr>
        <w:t xml:space="preserve">t nyttig verktøy, både </w:t>
      </w:r>
      <w:r w:rsidR="00460697" w:rsidRPr="00AE02D3">
        <w:rPr>
          <w:lang w:val="nn-NO"/>
        </w:rPr>
        <w:t>når vi arrangerer</w:t>
      </w:r>
      <w:r w:rsidR="00801104" w:rsidRPr="00AE02D3">
        <w:rPr>
          <w:lang w:val="nn-NO"/>
        </w:rPr>
        <w:t xml:space="preserve"> </w:t>
      </w:r>
      <w:r w:rsidR="00271738" w:rsidRPr="00AE02D3">
        <w:rPr>
          <w:lang w:val="nn-NO"/>
        </w:rPr>
        <w:t>konferansar og seminar</w:t>
      </w:r>
      <w:r w:rsidR="00801104" w:rsidRPr="00AE02D3">
        <w:rPr>
          <w:lang w:val="nn-NO"/>
        </w:rPr>
        <w:t xml:space="preserve"> </w:t>
      </w:r>
      <w:r w:rsidR="00967350" w:rsidRPr="00AE02D3">
        <w:rPr>
          <w:lang w:val="nn-NO"/>
        </w:rPr>
        <w:t xml:space="preserve">og </w:t>
      </w:r>
      <w:r w:rsidR="00460697" w:rsidRPr="00AE02D3">
        <w:rPr>
          <w:lang w:val="nn-NO"/>
        </w:rPr>
        <w:t xml:space="preserve">når vi </w:t>
      </w:r>
      <w:r w:rsidR="00271738" w:rsidRPr="00AE02D3">
        <w:rPr>
          <w:lang w:val="nn-NO"/>
        </w:rPr>
        <w:t>lagar</w:t>
      </w:r>
      <w:r w:rsidR="00460697" w:rsidRPr="00AE02D3">
        <w:rPr>
          <w:lang w:val="nn-NO"/>
        </w:rPr>
        <w:t xml:space="preserve"> </w:t>
      </w:r>
      <w:r w:rsidR="00271738" w:rsidRPr="00AE02D3">
        <w:rPr>
          <w:lang w:val="nn-NO"/>
        </w:rPr>
        <w:t>rapporta</w:t>
      </w:r>
      <w:r w:rsidR="00967350" w:rsidRPr="00AE02D3">
        <w:rPr>
          <w:lang w:val="nn-NO"/>
        </w:rPr>
        <w:t xml:space="preserve">r, </w:t>
      </w:r>
      <w:r w:rsidR="00824662" w:rsidRPr="00AE02D3">
        <w:rPr>
          <w:lang w:val="nn-NO"/>
        </w:rPr>
        <w:t xml:space="preserve">enten dei er </w:t>
      </w:r>
      <w:r w:rsidR="00460697" w:rsidRPr="00AE02D3">
        <w:rPr>
          <w:lang w:val="nn-NO"/>
        </w:rPr>
        <w:t xml:space="preserve">nasjonale </w:t>
      </w:r>
      <w:r w:rsidR="00824662" w:rsidRPr="00AE02D3">
        <w:rPr>
          <w:lang w:val="nn-NO"/>
        </w:rPr>
        <w:t xml:space="preserve">eller </w:t>
      </w:r>
      <w:r w:rsidR="00460697" w:rsidRPr="00AE02D3">
        <w:rPr>
          <w:lang w:val="nn-NO"/>
        </w:rPr>
        <w:t>internasjonale.</w:t>
      </w:r>
    </w:p>
    <w:p w:rsidR="00650938" w:rsidRPr="00AE02D3" w:rsidRDefault="00BE2558" w:rsidP="00650938">
      <w:pPr>
        <w:rPr>
          <w:lang w:val="nn-NO"/>
        </w:rPr>
      </w:pPr>
      <w:r w:rsidRPr="00AE02D3">
        <w:rPr>
          <w:lang w:val="nn-NO"/>
        </w:rPr>
        <w:t>Br</w:t>
      </w:r>
      <w:r w:rsidR="009045D8" w:rsidRPr="00AE02D3">
        <w:rPr>
          <w:lang w:val="nn-NO"/>
        </w:rPr>
        <w:t>uk av ekspertmøter, der vi samlar forskarar og andre relevante aktøra</w:t>
      </w:r>
      <w:r w:rsidRPr="00AE02D3">
        <w:rPr>
          <w:lang w:val="nn-NO"/>
        </w:rPr>
        <w:t>r på e</w:t>
      </w:r>
      <w:r w:rsidR="009045D8" w:rsidRPr="00AE02D3">
        <w:rPr>
          <w:lang w:val="nn-NO"/>
        </w:rPr>
        <w:t>i</w:t>
      </w:r>
      <w:r w:rsidRPr="00AE02D3">
        <w:rPr>
          <w:lang w:val="nn-NO"/>
        </w:rPr>
        <w:t xml:space="preserve">t felt, har vist seg å </w:t>
      </w:r>
      <w:r w:rsidR="00E57AF3" w:rsidRPr="00AE02D3">
        <w:rPr>
          <w:lang w:val="nn-NO"/>
        </w:rPr>
        <w:t>vere</w:t>
      </w:r>
      <w:r w:rsidRPr="00AE02D3">
        <w:rPr>
          <w:lang w:val="nn-NO"/>
        </w:rPr>
        <w:t xml:space="preserve"> e</w:t>
      </w:r>
      <w:r w:rsidR="009045D8" w:rsidRPr="00AE02D3">
        <w:rPr>
          <w:lang w:val="nn-NO"/>
        </w:rPr>
        <w:t>i</w:t>
      </w:r>
      <w:r w:rsidRPr="00AE02D3">
        <w:rPr>
          <w:lang w:val="nn-NO"/>
        </w:rPr>
        <w:t xml:space="preserve">t nyttig verktøy for oss. </w:t>
      </w:r>
      <w:r w:rsidR="00460697" w:rsidRPr="00AE02D3">
        <w:rPr>
          <w:lang w:val="nn-NO"/>
        </w:rPr>
        <w:t>I 2019</w:t>
      </w:r>
      <w:r w:rsidR="009045D8" w:rsidRPr="00AE02D3">
        <w:rPr>
          <w:lang w:val="nn-NO"/>
        </w:rPr>
        <w:t xml:space="preserve"> hadde vi slike møter på temaa tvang og va</w:t>
      </w:r>
      <w:r w:rsidR="00460697" w:rsidRPr="00AE02D3">
        <w:rPr>
          <w:lang w:val="nn-NO"/>
        </w:rPr>
        <w:t xml:space="preserve">ldtekt, se </w:t>
      </w:r>
      <w:r w:rsidR="00002F5F" w:rsidRPr="00AE02D3">
        <w:rPr>
          <w:lang w:val="nn-NO"/>
        </w:rPr>
        <w:t>nærare på omtalene</w:t>
      </w:r>
      <w:r w:rsidR="00460697" w:rsidRPr="00AE02D3">
        <w:rPr>
          <w:lang w:val="nn-NO"/>
        </w:rPr>
        <w:t xml:space="preserve"> under </w:t>
      </w:r>
      <w:r w:rsidR="00FE25F1" w:rsidRPr="00AE02D3">
        <w:rPr>
          <w:lang w:val="nn-NO"/>
        </w:rPr>
        <w:t xml:space="preserve">punkt </w:t>
      </w:r>
      <w:r w:rsidR="00460697" w:rsidRPr="00AE02D3">
        <w:rPr>
          <w:lang w:val="nn-NO"/>
        </w:rPr>
        <w:t>3.3.</w:t>
      </w:r>
    </w:p>
    <w:p w:rsidR="00460697" w:rsidRPr="00AE02D3" w:rsidRDefault="00460697" w:rsidP="00650938">
      <w:pPr>
        <w:spacing w:before="0" w:after="160" w:line="259" w:lineRule="auto"/>
        <w:rPr>
          <w:lang w:val="nn-NO"/>
        </w:rPr>
      </w:pPr>
    </w:p>
    <w:p w:rsidR="00650938" w:rsidRPr="00AE02D3" w:rsidRDefault="00650938" w:rsidP="00650938">
      <w:pPr>
        <w:spacing w:before="0" w:after="160" w:line="259" w:lineRule="auto"/>
        <w:rPr>
          <w:lang w:val="nn-NO"/>
        </w:rPr>
      </w:pPr>
      <w:r w:rsidRPr="00AE02D3">
        <w:rPr>
          <w:lang w:val="nn-NO"/>
        </w:rPr>
        <w:br w:type="page"/>
      </w:r>
    </w:p>
    <w:p w:rsidR="009A6EA3" w:rsidRPr="004C1D84" w:rsidRDefault="005859D1" w:rsidP="009A6EA3">
      <w:pPr>
        <w:keepNext/>
        <w:keepLines/>
        <w:spacing w:before="240" w:after="0"/>
        <w:outlineLvl w:val="0"/>
        <w:rPr>
          <w:rFonts w:eastAsiaTheme="majorEastAsia"/>
          <w:b/>
          <w:sz w:val="36"/>
          <w:szCs w:val="36"/>
          <w:lang w:val="nn-NO"/>
        </w:rPr>
      </w:pPr>
      <w:bookmarkStart w:id="15" w:name="_Toc34915960"/>
      <w:r>
        <w:rPr>
          <w:rFonts w:eastAsiaTheme="majorEastAsia"/>
          <w:b/>
          <w:sz w:val="36"/>
          <w:szCs w:val="36"/>
          <w:lang w:val="nn-NO"/>
        </w:rPr>
        <w:lastRenderedPageBreak/>
        <w:t xml:space="preserve">Kapittel 4 </w:t>
      </w:r>
      <w:r w:rsidR="009A6EA3" w:rsidRPr="004C1D84">
        <w:rPr>
          <w:rFonts w:eastAsiaTheme="majorEastAsia"/>
          <w:b/>
          <w:sz w:val="36"/>
          <w:szCs w:val="36"/>
          <w:lang w:val="nn-NO"/>
        </w:rPr>
        <w:t>Styring og kontroll i verksemda</w:t>
      </w:r>
      <w:bookmarkEnd w:id="15"/>
      <w:r w:rsidR="009A6EA3" w:rsidRPr="004C1D84">
        <w:rPr>
          <w:rFonts w:eastAsiaTheme="majorEastAsia"/>
          <w:b/>
          <w:sz w:val="36"/>
          <w:szCs w:val="36"/>
          <w:lang w:val="nn-NO"/>
        </w:rPr>
        <w:t xml:space="preserve">  </w:t>
      </w:r>
    </w:p>
    <w:p w:rsidR="009A6EA3" w:rsidRPr="004C1D84" w:rsidRDefault="009A6EA3" w:rsidP="009A6EA3">
      <w:pPr>
        <w:rPr>
          <w:lang w:val="nn-NO"/>
        </w:rPr>
      </w:pPr>
    </w:p>
    <w:p w:rsidR="009A6EA3" w:rsidRPr="004C1D84" w:rsidRDefault="009A6EA3" w:rsidP="009A6EA3">
      <w:pPr>
        <w:outlineLvl w:val="1"/>
        <w:rPr>
          <w:rFonts w:eastAsiaTheme="majorEastAsia"/>
          <w:b/>
          <w:sz w:val="28"/>
          <w:lang w:val="nn-NO"/>
        </w:rPr>
      </w:pPr>
      <w:bookmarkStart w:id="16" w:name="_Toc2771484"/>
      <w:bookmarkStart w:id="17" w:name="_Toc3444902"/>
      <w:bookmarkStart w:id="18" w:name="_Toc34915961"/>
      <w:r w:rsidRPr="004C1D84">
        <w:rPr>
          <w:rFonts w:eastAsiaTheme="majorEastAsia"/>
          <w:b/>
          <w:sz w:val="28"/>
          <w:lang w:val="nn-NO"/>
        </w:rPr>
        <w:t>Styring og kontroll</w:t>
      </w:r>
      <w:bookmarkEnd w:id="16"/>
      <w:bookmarkEnd w:id="17"/>
      <w:bookmarkEnd w:id="18"/>
      <w:r w:rsidRPr="004C1D84">
        <w:rPr>
          <w:rFonts w:eastAsiaTheme="majorEastAsia"/>
          <w:b/>
          <w:sz w:val="28"/>
          <w:lang w:val="nn-NO"/>
        </w:rPr>
        <w:t xml:space="preserve"> </w:t>
      </w:r>
    </w:p>
    <w:p w:rsidR="009A6EA3" w:rsidRPr="004C1D84" w:rsidRDefault="009A6EA3" w:rsidP="009A6EA3">
      <w:pPr>
        <w:rPr>
          <w:lang w:val="nn-NO"/>
        </w:rPr>
      </w:pPr>
      <w:r w:rsidRPr="004C1D84">
        <w:rPr>
          <w:lang w:val="nn-NO"/>
        </w:rPr>
        <w:t>For å best mogleg oppnå mål og resultat har vi i arbeidet med tryggleik og risikovurdering særleg hatt merksemd på ei s</w:t>
      </w:r>
      <w:r w:rsidR="00DA281F">
        <w:rPr>
          <w:lang w:val="nn-NO"/>
        </w:rPr>
        <w:t>ikk</w:t>
      </w:r>
      <w:r w:rsidR="00477933">
        <w:rPr>
          <w:lang w:val="nn-NO"/>
        </w:rPr>
        <w:t>e</w:t>
      </w:r>
      <w:r w:rsidRPr="004C1D84">
        <w:rPr>
          <w:lang w:val="nn-NO"/>
        </w:rPr>
        <w:t xml:space="preserve">r IKT-drift, ei rask og effektiv rettleiing med god kvalitet, tryggleik for våre tilsette og at LDO skal vere godt rusta for kriser. </w:t>
      </w:r>
    </w:p>
    <w:p w:rsidR="009A6EA3" w:rsidRPr="004C1D84" w:rsidRDefault="009A6EA3" w:rsidP="009A6EA3">
      <w:pPr>
        <w:rPr>
          <w:lang w:val="nn-NO"/>
        </w:rPr>
      </w:pPr>
      <w:r w:rsidRPr="004C1D84">
        <w:rPr>
          <w:lang w:val="nn-NO"/>
        </w:rPr>
        <w:t>LDO fører rekneskap etter SRS – statleg rekneskapsstandard. LDO sine rutinar innan økonomi og rekneskap skal medverke til s</w:t>
      </w:r>
      <w:r w:rsidR="006E5081">
        <w:rPr>
          <w:lang w:val="nn-NO"/>
        </w:rPr>
        <w:t>ikk</w:t>
      </w:r>
      <w:r w:rsidR="00477933">
        <w:rPr>
          <w:lang w:val="nn-NO"/>
        </w:rPr>
        <w:t>e</w:t>
      </w:r>
      <w:r w:rsidRPr="004C1D84">
        <w:rPr>
          <w:lang w:val="nn-NO"/>
        </w:rPr>
        <w:t xml:space="preserve">r og effektiv drift og gjere ombodet mindre sårbart.    </w:t>
      </w:r>
    </w:p>
    <w:p w:rsidR="009A6EA3" w:rsidRPr="004C1D84" w:rsidRDefault="009A6EA3" w:rsidP="009A6EA3">
      <w:pPr>
        <w:spacing w:before="0" w:after="0"/>
        <w:textAlignment w:val="baseline"/>
        <w:rPr>
          <w:lang w:val="nn-NO"/>
        </w:rPr>
      </w:pPr>
      <w:r w:rsidRPr="004C1D84">
        <w:rPr>
          <w:lang w:val="nn-NO"/>
        </w:rPr>
        <w:t> </w:t>
      </w:r>
    </w:p>
    <w:p w:rsidR="009A6EA3" w:rsidRPr="00FD3B1D" w:rsidRDefault="009A6EA3" w:rsidP="009A6EA3">
      <w:pPr>
        <w:spacing w:before="0" w:after="0"/>
        <w:textAlignment w:val="baseline"/>
        <w:rPr>
          <w:b/>
          <w:lang w:val="nn-NO"/>
        </w:rPr>
      </w:pPr>
      <w:r w:rsidRPr="00FD3B1D">
        <w:rPr>
          <w:b/>
          <w:lang w:val="nn-NO"/>
        </w:rPr>
        <w:t>S</w:t>
      </w:r>
      <w:r w:rsidR="00C17268">
        <w:rPr>
          <w:b/>
          <w:lang w:val="nn-NO"/>
        </w:rPr>
        <w:t>ikk</w:t>
      </w:r>
      <w:r w:rsidR="00477933">
        <w:rPr>
          <w:b/>
          <w:lang w:val="nn-NO"/>
        </w:rPr>
        <w:t>e</w:t>
      </w:r>
      <w:r w:rsidR="00C00B37">
        <w:rPr>
          <w:b/>
          <w:lang w:val="nn-NO"/>
        </w:rPr>
        <w:t>r IKT-drift og informasjonstryggleik</w:t>
      </w:r>
      <w:r w:rsidRPr="00FD3B1D">
        <w:rPr>
          <w:b/>
          <w:lang w:val="nn-NO"/>
        </w:rPr>
        <w:t xml:space="preserve"> </w:t>
      </w:r>
    </w:p>
    <w:p w:rsidR="009A6EA3" w:rsidRPr="00FD3B1D" w:rsidRDefault="009A6EA3" w:rsidP="009A6EA3">
      <w:pPr>
        <w:spacing w:before="0" w:after="0"/>
        <w:textAlignment w:val="baseline"/>
        <w:rPr>
          <w:lang w:val="nn-NO"/>
        </w:rPr>
      </w:pPr>
      <w:r w:rsidRPr="00FD3B1D">
        <w:rPr>
          <w:lang w:val="nn-NO"/>
        </w:rPr>
        <w:t xml:space="preserve">IKT-drift i heile 2019 var god og vi hadde ingen alvorlege hendingar. I tillegg </w:t>
      </w:r>
      <w:r w:rsidR="006E5081">
        <w:rPr>
          <w:lang w:val="nn-NO"/>
        </w:rPr>
        <w:t>til faste rutina</w:t>
      </w:r>
      <w:r w:rsidR="003E6245">
        <w:rPr>
          <w:lang w:val="nn-NO"/>
        </w:rPr>
        <w:t>r om backup og tryggleik</w:t>
      </w:r>
      <w:r w:rsidRPr="00FD3B1D">
        <w:rPr>
          <w:lang w:val="nn-NO"/>
        </w:rPr>
        <w:t xml:space="preserve">sinstruks hadde LDO fokus på </w:t>
      </w:r>
      <w:r w:rsidR="003E6245">
        <w:rPr>
          <w:lang w:val="nn-NO"/>
        </w:rPr>
        <w:t>styringssystem for informasjonstryggleik</w:t>
      </w:r>
      <w:r w:rsidRPr="00FD3B1D">
        <w:rPr>
          <w:lang w:val="nn-NO"/>
        </w:rPr>
        <w:t xml:space="preserve">, internkontroll og mobilitet. </w:t>
      </w:r>
    </w:p>
    <w:p w:rsidR="009A6EA3" w:rsidRPr="00FD3B1D" w:rsidRDefault="009A6EA3" w:rsidP="009A6EA3">
      <w:pPr>
        <w:spacing w:before="0" w:after="0"/>
        <w:textAlignment w:val="baseline"/>
        <w:rPr>
          <w:lang w:val="nn-NO"/>
        </w:rPr>
      </w:pPr>
    </w:p>
    <w:p w:rsidR="009A6EA3" w:rsidRPr="001D0BDE" w:rsidRDefault="009A6EA3" w:rsidP="009A6EA3">
      <w:pPr>
        <w:spacing w:before="0" w:after="0"/>
        <w:textAlignment w:val="baseline"/>
        <w:rPr>
          <w:lang w:val="nn-NO"/>
        </w:rPr>
      </w:pPr>
      <w:r w:rsidRPr="001D0BDE">
        <w:rPr>
          <w:lang w:val="nn-NO"/>
        </w:rPr>
        <w:t>Arbeidet med informasjon</w:t>
      </w:r>
      <w:r w:rsidR="00182C47">
        <w:rPr>
          <w:lang w:val="nn-NO"/>
        </w:rPr>
        <w:t>stryggleik</w:t>
      </w:r>
      <w:r w:rsidR="00300289">
        <w:rPr>
          <w:lang w:val="nn-NO"/>
        </w:rPr>
        <w:t xml:space="preserve"> i LDO har </w:t>
      </w:r>
      <w:r w:rsidRPr="001D0BDE">
        <w:rPr>
          <w:lang w:val="nn-NO"/>
        </w:rPr>
        <w:t>s</w:t>
      </w:r>
      <w:r w:rsidR="00300289">
        <w:rPr>
          <w:lang w:val="nn-NO"/>
        </w:rPr>
        <w:t>aman</w:t>
      </w:r>
      <w:r w:rsidRPr="001D0BDE">
        <w:rPr>
          <w:lang w:val="nn-NO"/>
        </w:rPr>
        <w:t>heng med arbeidet med samfunnss</w:t>
      </w:r>
      <w:r w:rsidR="00182C47">
        <w:rPr>
          <w:lang w:val="nn-NO"/>
        </w:rPr>
        <w:t>tryggleik</w:t>
      </w:r>
      <w:r w:rsidRPr="001D0BDE">
        <w:rPr>
          <w:lang w:val="nn-NO"/>
        </w:rPr>
        <w:t xml:space="preserve"> og beredskap. LDO har difor oppdatert styringsdoku</w:t>
      </w:r>
      <w:r w:rsidR="00E47FE3">
        <w:rPr>
          <w:lang w:val="nn-NO"/>
        </w:rPr>
        <w:t>me</w:t>
      </w:r>
      <w:r w:rsidR="00E57AF3" w:rsidRPr="001D0BDE">
        <w:rPr>
          <w:lang w:val="nn-NO"/>
        </w:rPr>
        <w:t>nt</w:t>
      </w:r>
      <w:r w:rsidRPr="001D0BDE">
        <w:rPr>
          <w:lang w:val="nn-NO"/>
        </w:rPr>
        <w:t>a på informasjons</w:t>
      </w:r>
      <w:r w:rsidR="00E47FE3">
        <w:rPr>
          <w:lang w:val="nn-NO"/>
        </w:rPr>
        <w:t>tryggleik</w:t>
      </w:r>
      <w:r w:rsidR="004F348B">
        <w:rPr>
          <w:lang w:val="nn-NO"/>
        </w:rPr>
        <w:t xml:space="preserve">. I </w:t>
      </w:r>
      <w:r w:rsidR="00E47FE3">
        <w:rPr>
          <w:lang w:val="nn-NO"/>
        </w:rPr>
        <w:t>samband</w:t>
      </w:r>
      <w:r w:rsidRPr="001D0BDE">
        <w:rPr>
          <w:lang w:val="nn-NO"/>
        </w:rPr>
        <w:t xml:space="preserve"> med internkontroll og mobilitet hadde LDO fokus på </w:t>
      </w:r>
      <w:r w:rsidR="00300289">
        <w:rPr>
          <w:lang w:val="nn-NO"/>
        </w:rPr>
        <w:t xml:space="preserve">å legge til rette og ha </w:t>
      </w:r>
      <w:r w:rsidR="00E47FE3">
        <w:rPr>
          <w:lang w:val="nn-NO"/>
        </w:rPr>
        <w:t>gode rutinar for bruk av mobil</w:t>
      </w:r>
      <w:r w:rsidRPr="001D0BDE">
        <w:rPr>
          <w:lang w:val="nn-NO"/>
        </w:rPr>
        <w:t xml:space="preserve">, elektroniske </w:t>
      </w:r>
      <w:r w:rsidR="00E47FE3">
        <w:rPr>
          <w:lang w:val="nn-NO"/>
        </w:rPr>
        <w:t>einingar</w:t>
      </w:r>
      <w:r w:rsidRPr="001D0BDE">
        <w:rPr>
          <w:lang w:val="nn-NO"/>
        </w:rPr>
        <w:t xml:space="preserve"> og arbeidsplattformer når </w:t>
      </w:r>
      <w:r w:rsidR="00E47FE3">
        <w:rPr>
          <w:lang w:val="nn-NO"/>
        </w:rPr>
        <w:t>d</w:t>
      </w:r>
      <w:r w:rsidR="00693177" w:rsidRPr="001D0BDE">
        <w:rPr>
          <w:lang w:val="nn-NO"/>
        </w:rPr>
        <w:t>esse</w:t>
      </w:r>
      <w:r w:rsidR="00E47FE3">
        <w:rPr>
          <w:lang w:val="nn-NO"/>
        </w:rPr>
        <w:t xml:space="preserve"> blir nytta uta</w:t>
      </w:r>
      <w:r w:rsidRPr="001D0BDE">
        <w:rPr>
          <w:lang w:val="nn-NO"/>
        </w:rPr>
        <w:t>nfor kontoret, for eksempe</w:t>
      </w:r>
      <w:r w:rsidR="00731BC1">
        <w:rPr>
          <w:lang w:val="nn-NO"/>
        </w:rPr>
        <w:t>l på t</w:t>
      </w:r>
      <w:r w:rsidR="00483F6A">
        <w:rPr>
          <w:lang w:val="nn-NO"/>
        </w:rPr>
        <w:t xml:space="preserve">enestereiser. Dette er ei føring i regjeringa sitt rundskriv om digitalisering. </w:t>
      </w:r>
      <w:r w:rsidRPr="001D0BDE">
        <w:rPr>
          <w:lang w:val="nn-NO"/>
        </w:rPr>
        <w:t>I tillegg var omfang og innretning på i</w:t>
      </w:r>
      <w:r w:rsidR="00B160A3">
        <w:rPr>
          <w:lang w:val="nn-NO"/>
        </w:rPr>
        <w:t>nternkontrollen i 2019 tilpassa antatt risiko for våre ulike system og krisescenario</w:t>
      </w:r>
      <w:r w:rsidRPr="001D0BDE">
        <w:rPr>
          <w:lang w:val="nn-NO"/>
        </w:rPr>
        <w:t>. Medarbeid</w:t>
      </w:r>
      <w:r w:rsidR="00085FF5">
        <w:rPr>
          <w:lang w:val="nn-NO"/>
        </w:rPr>
        <w:t>arar</w:t>
      </w:r>
      <w:r w:rsidRPr="001D0BDE">
        <w:rPr>
          <w:lang w:val="nn-NO"/>
        </w:rPr>
        <w:t xml:space="preserve"> må g</w:t>
      </w:r>
      <w:r w:rsidR="00085FF5">
        <w:rPr>
          <w:lang w:val="nn-NO"/>
        </w:rPr>
        <w:t>je</w:t>
      </w:r>
      <w:r w:rsidR="007315B4">
        <w:rPr>
          <w:lang w:val="nn-NO"/>
        </w:rPr>
        <w:t xml:space="preserve"> skriftle</w:t>
      </w:r>
      <w:r w:rsidRPr="001D0BDE">
        <w:rPr>
          <w:lang w:val="nn-NO"/>
        </w:rPr>
        <w:t>g samtykke til s</w:t>
      </w:r>
      <w:r w:rsidR="00085FF5">
        <w:rPr>
          <w:lang w:val="nn-NO"/>
        </w:rPr>
        <w:t>ikk</w:t>
      </w:r>
      <w:r w:rsidR="00477933" w:rsidRPr="001D0BDE">
        <w:rPr>
          <w:lang w:val="nn-NO"/>
        </w:rPr>
        <w:t>e</w:t>
      </w:r>
      <w:r w:rsidRPr="001D0BDE">
        <w:rPr>
          <w:lang w:val="nn-NO"/>
        </w:rPr>
        <w:t>r bruk av kommunikasjonsutstyr og LDO</w:t>
      </w:r>
      <w:r w:rsidR="00085FF5">
        <w:rPr>
          <w:lang w:val="nn-NO"/>
        </w:rPr>
        <w:t xml:space="preserve"> sin</w:t>
      </w:r>
      <w:r w:rsidRPr="001D0BDE">
        <w:rPr>
          <w:lang w:val="nn-NO"/>
        </w:rPr>
        <w:t xml:space="preserve"> policy for beredskap. Når det gjeld anna risiko som virus-/dataangrep, vil LDO halde </w:t>
      </w:r>
      <w:r w:rsidR="00FB6A99">
        <w:rPr>
          <w:lang w:val="nn-NO"/>
        </w:rPr>
        <w:t>fra</w:t>
      </w:r>
      <w:r w:rsidRPr="001D0BDE">
        <w:rPr>
          <w:lang w:val="nn-NO"/>
        </w:rPr>
        <w:t xml:space="preserve">m med samarbeidet med Nasjonal </w:t>
      </w:r>
      <w:r w:rsidR="00FB6A99">
        <w:rPr>
          <w:lang w:val="nn-NO"/>
        </w:rPr>
        <w:t>Sikkerhetsmyndighet</w:t>
      </w:r>
      <w:r w:rsidRPr="001D0BDE">
        <w:rPr>
          <w:lang w:val="nn-NO"/>
        </w:rPr>
        <w:t xml:space="preserve"> (NSM). </w:t>
      </w:r>
    </w:p>
    <w:p w:rsidR="009A6EA3" w:rsidRPr="001D0BDE" w:rsidRDefault="009A6EA3" w:rsidP="009A6EA3">
      <w:pPr>
        <w:spacing w:before="0" w:after="0"/>
        <w:textAlignment w:val="baseline"/>
        <w:rPr>
          <w:color w:val="00B050"/>
          <w:lang w:val="nn-NO"/>
        </w:rPr>
      </w:pPr>
    </w:p>
    <w:p w:rsidR="009A6EA3" w:rsidRPr="001D0BDE" w:rsidRDefault="009A6EA3" w:rsidP="009A6EA3">
      <w:pPr>
        <w:spacing w:before="0" w:after="0"/>
        <w:textAlignment w:val="baseline"/>
        <w:rPr>
          <w:b/>
          <w:lang w:val="nn-NO"/>
        </w:rPr>
      </w:pPr>
      <w:r w:rsidRPr="001D0BDE">
        <w:rPr>
          <w:b/>
          <w:lang w:val="nn-NO"/>
        </w:rPr>
        <w:t>Digitalisering</w:t>
      </w:r>
    </w:p>
    <w:p w:rsidR="009A6EA3" w:rsidRPr="00AE02D3" w:rsidRDefault="004F348B" w:rsidP="009A6EA3">
      <w:pPr>
        <w:spacing w:before="0" w:after="0"/>
        <w:textAlignment w:val="baseline"/>
        <w:rPr>
          <w:lang w:val="nn-NO"/>
        </w:rPr>
      </w:pPr>
      <w:r>
        <w:rPr>
          <w:lang w:val="nn-NO"/>
        </w:rPr>
        <w:t>I 2018 skifta</w:t>
      </w:r>
      <w:r w:rsidR="009A6EA3" w:rsidRPr="001D0BDE">
        <w:rPr>
          <w:lang w:val="nn-NO"/>
        </w:rPr>
        <w:t xml:space="preserve"> LD</w:t>
      </w:r>
      <w:r>
        <w:rPr>
          <w:lang w:val="nn-NO"/>
        </w:rPr>
        <w:t>O ut gamle servere og PC-klientar. I 2019 har di</w:t>
      </w:r>
      <w:r w:rsidR="009A6EA3" w:rsidRPr="001D0BDE">
        <w:rPr>
          <w:lang w:val="nn-NO"/>
        </w:rPr>
        <w:t>for LDO hatt fokus på p</w:t>
      </w:r>
      <w:r>
        <w:rPr>
          <w:lang w:val="nn-NO"/>
        </w:rPr>
        <w:t>lattformer og rutiner som bidreg</w:t>
      </w:r>
      <w:r w:rsidR="009A6EA3" w:rsidRPr="001D0BDE">
        <w:rPr>
          <w:lang w:val="nn-NO"/>
        </w:rPr>
        <w:t xml:space="preserve"> til digitalisering og me</w:t>
      </w:r>
      <w:r>
        <w:rPr>
          <w:lang w:val="nn-NO"/>
        </w:rPr>
        <w:t>ir effektive arbeidsprosessa</w:t>
      </w:r>
      <w:r w:rsidR="009A6EA3" w:rsidRPr="001D0BDE">
        <w:rPr>
          <w:lang w:val="nn-NO"/>
        </w:rPr>
        <w:t xml:space="preserve">r. </w:t>
      </w:r>
      <w:r w:rsidR="009A6EA3" w:rsidRPr="00AE02D3">
        <w:rPr>
          <w:lang w:val="nn-NO"/>
        </w:rPr>
        <w:t xml:space="preserve">Vi har blant </w:t>
      </w:r>
      <w:r w:rsidR="00E57AF3" w:rsidRPr="00AE02D3">
        <w:rPr>
          <w:lang w:val="nn-NO"/>
        </w:rPr>
        <w:t>anna</w:t>
      </w:r>
      <w:r w:rsidR="009A6EA3" w:rsidRPr="00AE02D3">
        <w:rPr>
          <w:lang w:val="nn-NO"/>
        </w:rPr>
        <w:t xml:space="preserve"> </w:t>
      </w:r>
      <w:r w:rsidR="00D7186E" w:rsidRPr="00AE02D3">
        <w:rPr>
          <w:lang w:val="nn-NO"/>
        </w:rPr>
        <w:t>arbeidt</w:t>
      </w:r>
      <w:r w:rsidRPr="00AE02D3">
        <w:rPr>
          <w:lang w:val="nn-NO"/>
        </w:rPr>
        <w:t xml:space="preserve"> med integrasjon</w:t>
      </w:r>
      <w:r w:rsidR="009A6EA3" w:rsidRPr="00AE02D3">
        <w:rPr>
          <w:lang w:val="nn-NO"/>
        </w:rPr>
        <w:t xml:space="preserve"> for s</w:t>
      </w:r>
      <w:r w:rsidRPr="00AE02D3">
        <w:rPr>
          <w:lang w:val="nn-NO"/>
        </w:rPr>
        <w:t>ikk</w:t>
      </w:r>
      <w:r w:rsidR="00477933" w:rsidRPr="00AE02D3">
        <w:rPr>
          <w:lang w:val="nn-NO"/>
        </w:rPr>
        <w:t>e</w:t>
      </w:r>
      <w:r w:rsidR="009A2771" w:rsidRPr="00AE02D3">
        <w:rPr>
          <w:lang w:val="nn-NO"/>
        </w:rPr>
        <w:t>r ha</w:t>
      </w:r>
      <w:r w:rsidR="009A6EA3" w:rsidRPr="00AE02D3">
        <w:rPr>
          <w:lang w:val="nn-NO"/>
        </w:rPr>
        <w:t>ndtering av t</w:t>
      </w:r>
      <w:r w:rsidR="009A2771" w:rsidRPr="00AE02D3">
        <w:rPr>
          <w:lang w:val="nn-NO"/>
        </w:rPr>
        <w:t>elefonførespurnadar til ombodet. Tidliga</w:t>
      </w:r>
      <w:r w:rsidR="009A6EA3" w:rsidRPr="00AE02D3">
        <w:rPr>
          <w:lang w:val="nn-NO"/>
        </w:rPr>
        <w:t>re ble</w:t>
      </w:r>
      <w:r w:rsidR="009A2771" w:rsidRPr="00AE02D3">
        <w:rPr>
          <w:lang w:val="nn-NO"/>
        </w:rPr>
        <w:t>i</w:t>
      </w:r>
      <w:r w:rsidR="009A6EA3" w:rsidRPr="00AE02D3">
        <w:rPr>
          <w:lang w:val="nn-NO"/>
        </w:rPr>
        <w:t xml:space="preserve"> tele</w:t>
      </w:r>
      <w:r w:rsidR="009A2771" w:rsidRPr="00AE02D3">
        <w:rPr>
          <w:lang w:val="nn-NO"/>
        </w:rPr>
        <w:t>fonførespurnadar</w:t>
      </w:r>
      <w:r w:rsidR="009A6EA3" w:rsidRPr="00AE02D3">
        <w:rPr>
          <w:lang w:val="nn-NO"/>
        </w:rPr>
        <w:t xml:space="preserve"> </w:t>
      </w:r>
      <w:r w:rsidR="009A2771" w:rsidRPr="00AE02D3">
        <w:rPr>
          <w:lang w:val="nn-NO"/>
        </w:rPr>
        <w:t>sendt</w:t>
      </w:r>
      <w:r w:rsidR="009A6EA3" w:rsidRPr="00AE02D3">
        <w:rPr>
          <w:lang w:val="nn-NO"/>
        </w:rPr>
        <w:t xml:space="preserve"> ut til saks</w:t>
      </w:r>
      <w:r w:rsidR="009A2771" w:rsidRPr="00AE02D3">
        <w:rPr>
          <w:lang w:val="nn-NO"/>
        </w:rPr>
        <w:t>handsamarane på e-post</w:t>
      </w:r>
      <w:r w:rsidR="009A6EA3" w:rsidRPr="00AE02D3">
        <w:rPr>
          <w:lang w:val="nn-NO"/>
        </w:rPr>
        <w:t xml:space="preserve"> </w:t>
      </w:r>
      <w:r w:rsidR="00AE6728" w:rsidRPr="00AE02D3">
        <w:rPr>
          <w:lang w:val="nn-NO"/>
        </w:rPr>
        <w:t>frå</w:t>
      </w:r>
      <w:r w:rsidR="009A6EA3" w:rsidRPr="00AE02D3">
        <w:rPr>
          <w:lang w:val="nn-NO"/>
        </w:rPr>
        <w:t xml:space="preserve"> resepsjonen, med po</w:t>
      </w:r>
      <w:r w:rsidR="002D6FD0" w:rsidRPr="00AE02D3">
        <w:rPr>
          <w:lang w:val="nn-NO"/>
        </w:rPr>
        <w:t>tensielt mange mottakarar. I 2019 har LDO teke</w:t>
      </w:r>
      <w:r w:rsidR="009A6EA3" w:rsidRPr="00AE02D3">
        <w:rPr>
          <w:lang w:val="nn-NO"/>
        </w:rPr>
        <w:t xml:space="preserve"> i bruk e</w:t>
      </w:r>
      <w:r w:rsidR="002D6FD0" w:rsidRPr="00AE02D3">
        <w:rPr>
          <w:lang w:val="nn-NO"/>
        </w:rPr>
        <w:t>i</w:t>
      </w:r>
      <w:r w:rsidR="009A6EA3" w:rsidRPr="00AE02D3">
        <w:rPr>
          <w:lang w:val="nn-NO"/>
        </w:rPr>
        <w:t xml:space="preserve">t kryptert skjema </w:t>
      </w:r>
      <w:r w:rsidR="002D6FD0" w:rsidRPr="00AE02D3">
        <w:rPr>
          <w:lang w:val="nn-NO"/>
        </w:rPr>
        <w:t>kor</w:t>
      </w:r>
      <w:r w:rsidR="009A6EA3" w:rsidRPr="00AE02D3">
        <w:rPr>
          <w:lang w:val="nn-NO"/>
        </w:rPr>
        <w:t xml:space="preserve"> informasjon </w:t>
      </w:r>
      <w:r w:rsidR="00AE6728" w:rsidRPr="00AE02D3">
        <w:rPr>
          <w:lang w:val="nn-NO"/>
        </w:rPr>
        <w:t>frå</w:t>
      </w:r>
      <w:r w:rsidR="002D6FD0" w:rsidRPr="00AE02D3">
        <w:rPr>
          <w:lang w:val="nn-NO"/>
        </w:rPr>
        <w:t xml:space="preserve"> teleførespurnadar</w:t>
      </w:r>
      <w:r w:rsidR="009A6EA3" w:rsidRPr="00AE02D3">
        <w:rPr>
          <w:lang w:val="nn-NO"/>
        </w:rPr>
        <w:t xml:space="preserve"> </w:t>
      </w:r>
      <w:r w:rsidR="002D6FD0" w:rsidRPr="00AE02D3">
        <w:rPr>
          <w:lang w:val="nn-NO"/>
        </w:rPr>
        <w:t>blir skrivne inn og sendt</w:t>
      </w:r>
      <w:r w:rsidR="009A6EA3" w:rsidRPr="00AE02D3">
        <w:rPr>
          <w:lang w:val="nn-NO"/>
        </w:rPr>
        <w:t xml:space="preserve"> direkte </w:t>
      </w:r>
      <w:r w:rsidR="002D6FD0" w:rsidRPr="00AE02D3">
        <w:rPr>
          <w:lang w:val="nn-NO"/>
        </w:rPr>
        <w:t>til</w:t>
      </w:r>
      <w:r w:rsidR="009A6EA3" w:rsidRPr="00AE02D3">
        <w:rPr>
          <w:lang w:val="nn-NO"/>
        </w:rPr>
        <w:t xml:space="preserve"> vårt elektroniske saks</w:t>
      </w:r>
      <w:r w:rsidR="002D6FD0" w:rsidRPr="00AE02D3">
        <w:rPr>
          <w:lang w:val="nn-NO"/>
        </w:rPr>
        <w:t>handsamings</w:t>
      </w:r>
      <w:r w:rsidR="009A6EA3" w:rsidRPr="00AE02D3">
        <w:rPr>
          <w:lang w:val="nn-NO"/>
        </w:rPr>
        <w:t>- og arkivsystem. L</w:t>
      </w:r>
      <w:r w:rsidR="00E84A5A" w:rsidRPr="00AE02D3">
        <w:rPr>
          <w:lang w:val="nn-NO"/>
        </w:rPr>
        <w:t>øysinga</w:t>
      </w:r>
      <w:r w:rsidR="009A6EA3" w:rsidRPr="00AE02D3">
        <w:rPr>
          <w:lang w:val="nn-NO"/>
        </w:rPr>
        <w:t xml:space="preserve"> </w:t>
      </w:r>
      <w:r w:rsidR="00E84A5A" w:rsidRPr="00AE02D3">
        <w:rPr>
          <w:lang w:val="nn-NO"/>
        </w:rPr>
        <w:t>ivaretek</w:t>
      </w:r>
      <w:r w:rsidR="009A6EA3" w:rsidRPr="00AE02D3">
        <w:rPr>
          <w:lang w:val="nn-NO"/>
        </w:rPr>
        <w:t xml:space="preserve"> informasjons</w:t>
      </w:r>
      <w:r w:rsidR="00E84A5A" w:rsidRPr="00AE02D3">
        <w:rPr>
          <w:lang w:val="nn-NO"/>
        </w:rPr>
        <w:t>tryggleiken</w:t>
      </w:r>
      <w:r w:rsidR="009A6EA3" w:rsidRPr="00AE02D3">
        <w:rPr>
          <w:lang w:val="nn-NO"/>
        </w:rPr>
        <w:t xml:space="preserve"> på e</w:t>
      </w:r>
      <w:r w:rsidR="00E84A5A" w:rsidRPr="00AE02D3">
        <w:rPr>
          <w:lang w:val="nn-NO"/>
        </w:rPr>
        <w:t>i</w:t>
      </w:r>
      <w:r w:rsidR="009A6EA3" w:rsidRPr="00AE02D3">
        <w:rPr>
          <w:lang w:val="nn-NO"/>
        </w:rPr>
        <w:t>n optimal måte og er</w:t>
      </w:r>
      <w:r w:rsidR="00E84A5A" w:rsidRPr="00AE02D3">
        <w:rPr>
          <w:lang w:val="nn-NO"/>
        </w:rPr>
        <w:t xml:space="preserve"> i tillegg meir verksam. </w:t>
      </w:r>
    </w:p>
    <w:p w:rsidR="009A6EA3" w:rsidRPr="00AE02D3" w:rsidRDefault="009A6EA3" w:rsidP="009A6EA3">
      <w:pPr>
        <w:spacing w:before="0" w:after="0"/>
        <w:textAlignment w:val="baseline"/>
        <w:rPr>
          <w:lang w:val="nn-NO"/>
        </w:rPr>
      </w:pPr>
    </w:p>
    <w:p w:rsidR="009A6EA3" w:rsidRPr="00AE02D3" w:rsidRDefault="009F1F97" w:rsidP="009A6EA3">
      <w:pPr>
        <w:spacing w:before="0" w:after="0"/>
        <w:textAlignment w:val="baseline"/>
        <w:rPr>
          <w:lang w:val="nn-NO"/>
        </w:rPr>
      </w:pPr>
      <w:r w:rsidRPr="00AE02D3">
        <w:rPr>
          <w:lang w:val="nn-NO"/>
        </w:rPr>
        <w:t>LDO har også tatt i bruk sky-t</w:t>
      </w:r>
      <w:r w:rsidR="009A6EA3" w:rsidRPr="00AE02D3">
        <w:rPr>
          <w:lang w:val="nn-NO"/>
        </w:rPr>
        <w:t>enester og sky</w:t>
      </w:r>
      <w:r w:rsidRPr="00AE02D3">
        <w:rPr>
          <w:lang w:val="nn-NO"/>
        </w:rPr>
        <w:t>-baserte plattformer. LDO si heimeside vart flytta</w:t>
      </w:r>
      <w:r w:rsidR="009A6EA3" w:rsidRPr="00AE02D3">
        <w:rPr>
          <w:lang w:val="nn-NO"/>
        </w:rPr>
        <w:t xml:space="preserve"> til sky</w:t>
      </w:r>
      <w:r w:rsidRPr="00AE02D3">
        <w:rPr>
          <w:lang w:val="nn-NO"/>
        </w:rPr>
        <w:t>-</w:t>
      </w:r>
      <w:r w:rsidR="009A6EA3" w:rsidRPr="00AE02D3">
        <w:rPr>
          <w:lang w:val="nn-NO"/>
        </w:rPr>
        <w:t>baser</w:t>
      </w:r>
      <w:r w:rsidRPr="00AE02D3">
        <w:rPr>
          <w:lang w:val="nn-NO"/>
        </w:rPr>
        <w:t>t server i 2019. Når det gjeld våre interne system og sky-t</w:t>
      </w:r>
      <w:r w:rsidR="009A6EA3" w:rsidRPr="00AE02D3">
        <w:rPr>
          <w:lang w:val="nn-NO"/>
        </w:rPr>
        <w:t xml:space="preserve">eneste har LDO et pilotprosjekt som blant </w:t>
      </w:r>
      <w:r w:rsidR="00E57AF3" w:rsidRPr="00AE02D3">
        <w:rPr>
          <w:lang w:val="nn-NO"/>
        </w:rPr>
        <w:t>anna</w:t>
      </w:r>
      <w:r w:rsidR="009A6EA3" w:rsidRPr="00AE02D3">
        <w:rPr>
          <w:lang w:val="nn-NO"/>
        </w:rPr>
        <w:t xml:space="preserve"> han</w:t>
      </w:r>
      <w:r w:rsidRPr="00AE02D3">
        <w:rPr>
          <w:lang w:val="nn-NO"/>
        </w:rPr>
        <w:t>dlar om å dele rapporta</w:t>
      </w:r>
      <w:r w:rsidR="009A6EA3" w:rsidRPr="00AE02D3">
        <w:rPr>
          <w:lang w:val="nn-NO"/>
        </w:rPr>
        <w:t>r og doku</w:t>
      </w:r>
      <w:r w:rsidRPr="00AE02D3">
        <w:rPr>
          <w:lang w:val="nn-NO"/>
        </w:rPr>
        <w:t>me</w:t>
      </w:r>
      <w:r w:rsidR="00E57AF3" w:rsidRPr="00AE02D3">
        <w:rPr>
          <w:lang w:val="nn-NO"/>
        </w:rPr>
        <w:t>nt</w:t>
      </w:r>
      <w:r w:rsidRPr="00AE02D3">
        <w:rPr>
          <w:lang w:val="nn-NO"/>
        </w:rPr>
        <w:t xml:space="preserve"> som har mange bidragsytarar</w:t>
      </w:r>
      <w:r w:rsidR="009A6EA3" w:rsidRPr="00AE02D3">
        <w:rPr>
          <w:lang w:val="nn-NO"/>
        </w:rPr>
        <w:t xml:space="preserve"> og som gir oss </w:t>
      </w:r>
      <w:r w:rsidR="00560FAD" w:rsidRPr="00AE02D3">
        <w:rPr>
          <w:lang w:val="nn-NO"/>
        </w:rPr>
        <w:t>moglegheit</w:t>
      </w:r>
      <w:r w:rsidR="009A6EA3" w:rsidRPr="00AE02D3">
        <w:rPr>
          <w:lang w:val="nn-NO"/>
        </w:rPr>
        <w:t xml:space="preserve"> til at fle</w:t>
      </w:r>
      <w:r w:rsidR="00560FAD" w:rsidRPr="00AE02D3">
        <w:rPr>
          <w:lang w:val="nn-NO"/>
        </w:rPr>
        <w:t>i</w:t>
      </w:r>
      <w:r w:rsidR="009A6EA3" w:rsidRPr="00AE02D3">
        <w:rPr>
          <w:lang w:val="nn-NO"/>
        </w:rPr>
        <w:t xml:space="preserve">re kan </w:t>
      </w:r>
      <w:r w:rsidR="00560FAD" w:rsidRPr="00AE02D3">
        <w:rPr>
          <w:lang w:val="nn-NO"/>
        </w:rPr>
        <w:t>arbeide i same</w:t>
      </w:r>
      <w:r w:rsidR="009A6EA3" w:rsidRPr="00AE02D3">
        <w:rPr>
          <w:lang w:val="nn-NO"/>
        </w:rPr>
        <w:t xml:space="preserve"> doku</w:t>
      </w:r>
      <w:r w:rsidR="00560FAD" w:rsidRPr="00AE02D3">
        <w:rPr>
          <w:lang w:val="nn-NO"/>
        </w:rPr>
        <w:t>me</w:t>
      </w:r>
      <w:r w:rsidR="00E57AF3" w:rsidRPr="00AE02D3">
        <w:rPr>
          <w:lang w:val="nn-NO"/>
        </w:rPr>
        <w:t>nt</w:t>
      </w:r>
      <w:r w:rsidR="009A6EA3" w:rsidRPr="00AE02D3">
        <w:rPr>
          <w:lang w:val="nn-NO"/>
        </w:rPr>
        <w:t xml:space="preserve"> </w:t>
      </w:r>
      <w:r w:rsidR="004E5574" w:rsidRPr="00AE02D3">
        <w:rPr>
          <w:lang w:val="nn-NO"/>
        </w:rPr>
        <w:t>samstundes</w:t>
      </w:r>
      <w:r w:rsidR="009A6EA3" w:rsidRPr="00AE02D3">
        <w:rPr>
          <w:lang w:val="nn-NO"/>
        </w:rPr>
        <w:t xml:space="preserve">. LDO </w:t>
      </w:r>
      <w:r w:rsidR="00560FAD" w:rsidRPr="00AE02D3">
        <w:rPr>
          <w:lang w:val="nn-NO"/>
        </w:rPr>
        <w:t>vil fortsette arbeidet med sky-t</w:t>
      </w:r>
      <w:r w:rsidR="009A6EA3" w:rsidRPr="00AE02D3">
        <w:rPr>
          <w:lang w:val="nn-NO"/>
        </w:rPr>
        <w:t>enester i 2020.</w:t>
      </w:r>
    </w:p>
    <w:p w:rsidR="009A6EA3" w:rsidRPr="00AE02D3" w:rsidRDefault="009A6EA3" w:rsidP="009A6EA3">
      <w:pPr>
        <w:spacing w:before="0" w:after="0"/>
        <w:textAlignment w:val="baseline"/>
        <w:rPr>
          <w:b/>
          <w:lang w:val="nn-NO"/>
        </w:rPr>
      </w:pPr>
    </w:p>
    <w:p w:rsidR="009A6EA3" w:rsidRPr="00AE02D3" w:rsidRDefault="00C3167B" w:rsidP="009A6EA3">
      <w:pPr>
        <w:spacing w:before="0" w:after="0"/>
        <w:textAlignment w:val="baseline"/>
        <w:rPr>
          <w:b/>
          <w:lang w:val="nn-NO"/>
        </w:rPr>
      </w:pPr>
      <w:r w:rsidRPr="00AE02D3">
        <w:rPr>
          <w:b/>
          <w:lang w:val="nn-NO"/>
        </w:rPr>
        <w:t>Digitale t</w:t>
      </w:r>
      <w:r w:rsidR="009A6EA3" w:rsidRPr="00AE02D3">
        <w:rPr>
          <w:b/>
          <w:lang w:val="nn-NO"/>
        </w:rPr>
        <w:t>enest</w:t>
      </w:r>
      <w:r w:rsidRPr="00AE02D3">
        <w:rPr>
          <w:b/>
          <w:lang w:val="nn-NO"/>
        </w:rPr>
        <w:t>er og nasjonale felleskomponenta</w:t>
      </w:r>
      <w:r w:rsidR="009A6EA3" w:rsidRPr="00AE02D3">
        <w:rPr>
          <w:b/>
          <w:lang w:val="nn-NO"/>
        </w:rPr>
        <w:t>r</w:t>
      </w:r>
    </w:p>
    <w:p w:rsidR="009A6EA3" w:rsidRPr="00AE02D3" w:rsidRDefault="009A6EA3" w:rsidP="009A6EA3">
      <w:pPr>
        <w:spacing w:before="0" w:after="0"/>
        <w:textAlignment w:val="baseline"/>
        <w:rPr>
          <w:lang w:val="nn-NO"/>
        </w:rPr>
      </w:pPr>
      <w:r w:rsidRPr="00AE02D3">
        <w:rPr>
          <w:lang w:val="nn-NO"/>
        </w:rPr>
        <w:t xml:space="preserve">Digitale </w:t>
      </w:r>
      <w:r w:rsidR="00C3167B" w:rsidRPr="00AE02D3">
        <w:rPr>
          <w:lang w:val="nn-NO"/>
        </w:rPr>
        <w:t>t</w:t>
      </w:r>
      <w:r w:rsidRPr="00AE02D3">
        <w:rPr>
          <w:lang w:val="nn-NO"/>
        </w:rPr>
        <w:t xml:space="preserve">enester har </w:t>
      </w:r>
      <w:r w:rsidR="009C28DC" w:rsidRPr="00AE02D3">
        <w:rPr>
          <w:lang w:val="nn-NO"/>
        </w:rPr>
        <w:t>vore</w:t>
      </w:r>
      <w:r w:rsidR="00C3167B" w:rsidRPr="00AE02D3">
        <w:rPr>
          <w:lang w:val="nn-NO"/>
        </w:rPr>
        <w:t xml:space="preserve"> førsteval</w:t>
      </w:r>
      <w:r w:rsidRPr="00AE02D3">
        <w:rPr>
          <w:lang w:val="nn-NO"/>
        </w:rPr>
        <w:t>et i de</w:t>
      </w:r>
      <w:r w:rsidR="00C3167B" w:rsidRPr="00AE02D3">
        <w:rPr>
          <w:lang w:val="nn-NO"/>
        </w:rPr>
        <w:t>i siste åra</w:t>
      </w:r>
      <w:r w:rsidRPr="00AE02D3">
        <w:rPr>
          <w:lang w:val="nn-NO"/>
        </w:rPr>
        <w:t xml:space="preserve"> hos LDO, som også nå er å finne på www.</w:t>
      </w:r>
      <w:r w:rsidR="00C3167B" w:rsidRPr="00AE02D3">
        <w:rPr>
          <w:lang w:val="nn-NO"/>
        </w:rPr>
        <w:t>norge</w:t>
      </w:r>
      <w:r w:rsidR="00433B70" w:rsidRPr="00AE02D3">
        <w:rPr>
          <w:lang w:val="nn-NO"/>
        </w:rPr>
        <w:t>.no. LDO har allereie teke i bruk nokon nasjonale felleskomponenta</w:t>
      </w:r>
      <w:r w:rsidRPr="00AE02D3">
        <w:rPr>
          <w:lang w:val="nn-NO"/>
        </w:rPr>
        <w:t xml:space="preserve">r. Krypterte nettskjema har </w:t>
      </w:r>
      <w:r w:rsidR="009C28DC" w:rsidRPr="00AE02D3">
        <w:rPr>
          <w:lang w:val="nn-NO"/>
        </w:rPr>
        <w:t>vore</w:t>
      </w:r>
      <w:r w:rsidR="00433B70" w:rsidRPr="00AE02D3">
        <w:rPr>
          <w:lang w:val="nn-NO"/>
        </w:rPr>
        <w:t xml:space="preserve"> integrert med ID-porten sida</w:t>
      </w:r>
      <w:r w:rsidRPr="00AE02D3">
        <w:rPr>
          <w:lang w:val="nn-NO"/>
        </w:rPr>
        <w:t xml:space="preserve">n 2018. Kontakt- og reserversjonsregisteret er integrert i </w:t>
      </w:r>
      <w:r w:rsidR="00433B70" w:rsidRPr="00AE02D3">
        <w:rPr>
          <w:lang w:val="nn-NO"/>
        </w:rPr>
        <w:t xml:space="preserve">vårt system for sakshandsaming og arkiv. </w:t>
      </w:r>
      <w:r w:rsidRPr="00AE02D3">
        <w:rPr>
          <w:lang w:val="nn-NO"/>
        </w:rPr>
        <w:t xml:space="preserve">Vi ekspederer brev via digital </w:t>
      </w:r>
      <w:r w:rsidRPr="00AE02D3">
        <w:rPr>
          <w:lang w:val="nn-NO"/>
        </w:rPr>
        <w:lastRenderedPageBreak/>
        <w:t>postkasse til i</w:t>
      </w:r>
      <w:r w:rsidR="00433B70" w:rsidRPr="00AE02D3">
        <w:rPr>
          <w:lang w:val="nn-NO"/>
        </w:rPr>
        <w:t>nnbyggjarar som har ei</w:t>
      </w:r>
      <w:r w:rsidRPr="00AE02D3">
        <w:rPr>
          <w:lang w:val="nn-NO"/>
        </w:rPr>
        <w:t xml:space="preserve"> digital postkasse og som </w:t>
      </w:r>
      <w:r w:rsidR="00477933" w:rsidRPr="00AE02D3">
        <w:rPr>
          <w:lang w:val="nn-NO"/>
        </w:rPr>
        <w:t>ikkje</w:t>
      </w:r>
      <w:r w:rsidR="00433B70" w:rsidRPr="00AE02D3">
        <w:rPr>
          <w:lang w:val="nn-NO"/>
        </w:rPr>
        <w:t xml:space="preserve"> har reservert </w:t>
      </w:r>
      <w:r w:rsidRPr="00AE02D3">
        <w:rPr>
          <w:lang w:val="nn-NO"/>
        </w:rPr>
        <w:t xml:space="preserve">seg. Dette informerer vi også om på </w:t>
      </w:r>
      <w:r w:rsidR="00433B70" w:rsidRPr="00AE02D3">
        <w:rPr>
          <w:lang w:val="nn-NO"/>
        </w:rPr>
        <w:t>heimesida</w:t>
      </w:r>
      <w:r w:rsidRPr="00AE02D3">
        <w:rPr>
          <w:lang w:val="nn-NO"/>
        </w:rPr>
        <w:t xml:space="preserve"> vår. LDO </w:t>
      </w:r>
      <w:r w:rsidR="00CA7580" w:rsidRPr="00AE02D3">
        <w:rPr>
          <w:lang w:val="nn-NO"/>
        </w:rPr>
        <w:t>ønskjer</w:t>
      </w:r>
      <w:r w:rsidRPr="00AE02D3">
        <w:rPr>
          <w:lang w:val="nn-NO"/>
        </w:rPr>
        <w:t xml:space="preserve"> å </w:t>
      </w:r>
      <w:r w:rsidR="00267718" w:rsidRPr="00AE02D3">
        <w:rPr>
          <w:lang w:val="nn-NO"/>
        </w:rPr>
        <w:t xml:space="preserve">gjere bruk av </w:t>
      </w:r>
      <w:r w:rsidRPr="00AE02D3">
        <w:rPr>
          <w:lang w:val="nn-NO"/>
        </w:rPr>
        <w:t>fle</w:t>
      </w:r>
      <w:r w:rsidR="00267718" w:rsidRPr="00AE02D3">
        <w:rPr>
          <w:lang w:val="nn-NO"/>
        </w:rPr>
        <w:t>i</w:t>
      </w:r>
      <w:r w:rsidRPr="00AE02D3">
        <w:rPr>
          <w:lang w:val="nn-NO"/>
        </w:rPr>
        <w:t>re na</w:t>
      </w:r>
      <w:r w:rsidR="00267718" w:rsidRPr="00AE02D3">
        <w:rPr>
          <w:lang w:val="nn-NO"/>
        </w:rPr>
        <w:t>sjonale felleskomponentar og fortsett difor</w:t>
      </w:r>
      <w:r w:rsidRPr="00AE02D3">
        <w:rPr>
          <w:lang w:val="nn-NO"/>
        </w:rPr>
        <w:t xml:space="preserve"> integrasjonsarbeidet i 2020.</w:t>
      </w:r>
    </w:p>
    <w:p w:rsidR="009A6EA3" w:rsidRPr="00AE02D3" w:rsidRDefault="009A6EA3" w:rsidP="009A6EA3">
      <w:pPr>
        <w:spacing w:before="0" w:after="0"/>
        <w:textAlignment w:val="baseline"/>
        <w:rPr>
          <w:color w:val="00B050"/>
          <w:lang w:val="nn-NO"/>
        </w:rPr>
      </w:pPr>
    </w:p>
    <w:p w:rsidR="009A6EA3" w:rsidRPr="00AE02D3" w:rsidRDefault="009A6EA3" w:rsidP="009A6EA3">
      <w:pPr>
        <w:spacing w:before="0" w:after="0"/>
        <w:textAlignment w:val="baseline"/>
        <w:rPr>
          <w:lang w:val="nn-NO"/>
        </w:rPr>
      </w:pPr>
      <w:r w:rsidRPr="00AE02D3">
        <w:rPr>
          <w:lang w:val="nn-NO"/>
        </w:rPr>
        <w:t>I desember 2019 lanserte LDO e</w:t>
      </w:r>
      <w:r w:rsidR="007E4C4D" w:rsidRPr="00AE02D3">
        <w:rPr>
          <w:lang w:val="nn-NO"/>
        </w:rPr>
        <w:t>i</w:t>
      </w:r>
      <w:r w:rsidRPr="00AE02D3">
        <w:rPr>
          <w:lang w:val="nn-NO"/>
        </w:rPr>
        <w:t xml:space="preserve">n oppdatert </w:t>
      </w:r>
      <w:hyperlink r:id="rId13" w:history="1">
        <w:r w:rsidRPr="00AE02D3">
          <w:rPr>
            <w:color w:val="0563C1" w:themeColor="hyperlink"/>
            <w:u w:val="single"/>
            <w:lang w:val="nn-NO"/>
          </w:rPr>
          <w:t>www.ldo.no</w:t>
        </w:r>
      </w:hyperlink>
      <w:r w:rsidRPr="00AE02D3">
        <w:rPr>
          <w:lang w:val="nn-NO"/>
        </w:rPr>
        <w:t xml:space="preserve"> med nytt design. Den nye </w:t>
      </w:r>
      <w:r w:rsidR="00FC5D1F" w:rsidRPr="00AE02D3">
        <w:rPr>
          <w:lang w:val="nn-NO"/>
        </w:rPr>
        <w:t>nettsida</w:t>
      </w:r>
      <w:r w:rsidRPr="00AE02D3">
        <w:rPr>
          <w:lang w:val="nn-NO"/>
        </w:rPr>
        <w:t xml:space="preserve"> </w:t>
      </w:r>
      <w:r w:rsidR="007E4C4D" w:rsidRPr="00AE02D3">
        <w:rPr>
          <w:lang w:val="nn-NO"/>
        </w:rPr>
        <w:t xml:space="preserve">som er universelt utforma, </w:t>
      </w:r>
      <w:r w:rsidRPr="00AE02D3">
        <w:rPr>
          <w:lang w:val="nn-NO"/>
        </w:rPr>
        <w:t>har e</w:t>
      </w:r>
      <w:r w:rsidR="007E4C4D" w:rsidRPr="00AE02D3">
        <w:rPr>
          <w:lang w:val="nn-NO"/>
        </w:rPr>
        <w:t>i</w:t>
      </w:r>
      <w:r w:rsidRPr="00AE02D3">
        <w:rPr>
          <w:lang w:val="nn-NO"/>
        </w:rPr>
        <w:t xml:space="preserve">t </w:t>
      </w:r>
      <w:r w:rsidR="009C28DC" w:rsidRPr="00AE02D3">
        <w:rPr>
          <w:lang w:val="nn-NO"/>
        </w:rPr>
        <w:t>særleg</w:t>
      </w:r>
      <w:r w:rsidR="007E4C4D" w:rsidRPr="00AE02D3">
        <w:rPr>
          <w:lang w:val="nn-NO"/>
        </w:rPr>
        <w:t xml:space="preserve"> fokus på brukertilpassa</w:t>
      </w:r>
      <w:r w:rsidRPr="00AE02D3">
        <w:rPr>
          <w:lang w:val="nn-NO"/>
        </w:rPr>
        <w:t xml:space="preserve"> klart språk, som</w:t>
      </w:r>
      <w:r w:rsidR="007E4C4D" w:rsidRPr="00AE02D3">
        <w:rPr>
          <w:lang w:val="nn-NO"/>
        </w:rPr>
        <w:t xml:space="preserve"> KMD og Difi anbefala</w:t>
      </w:r>
      <w:r w:rsidRPr="00AE02D3">
        <w:rPr>
          <w:lang w:val="nn-NO"/>
        </w:rPr>
        <w:t xml:space="preserve">r. </w:t>
      </w:r>
    </w:p>
    <w:p w:rsidR="007E4C4D" w:rsidRPr="00AE02D3" w:rsidRDefault="007E4C4D" w:rsidP="009A6EA3">
      <w:pPr>
        <w:spacing w:before="0" w:after="0"/>
        <w:textAlignment w:val="baseline"/>
        <w:rPr>
          <w:color w:val="00B050"/>
          <w:lang w:val="nn-NO"/>
        </w:rPr>
      </w:pPr>
    </w:p>
    <w:p w:rsidR="009A6EA3" w:rsidRPr="00AE02D3" w:rsidRDefault="004837BF" w:rsidP="009A6EA3">
      <w:pPr>
        <w:spacing w:before="0" w:after="0"/>
        <w:textAlignment w:val="baseline"/>
        <w:rPr>
          <w:b/>
          <w:lang w:val="nn-NO"/>
        </w:rPr>
      </w:pPr>
      <w:r w:rsidRPr="00AE02D3">
        <w:rPr>
          <w:b/>
          <w:lang w:val="nn-NO"/>
        </w:rPr>
        <w:t>EU-</w:t>
      </w:r>
      <w:r w:rsidR="009A6EA3" w:rsidRPr="00AE02D3">
        <w:rPr>
          <w:b/>
          <w:lang w:val="nn-NO"/>
        </w:rPr>
        <w:t>forordning</w:t>
      </w:r>
      <w:r w:rsidRPr="00AE02D3">
        <w:rPr>
          <w:b/>
          <w:lang w:val="nn-NO"/>
        </w:rPr>
        <w:t>a</w:t>
      </w:r>
      <w:r w:rsidR="009A6EA3" w:rsidRPr="00AE02D3">
        <w:rPr>
          <w:b/>
          <w:lang w:val="nn-NO"/>
        </w:rPr>
        <w:t xml:space="preserve"> om GDPR (General Data Protection Regulation)</w:t>
      </w:r>
    </w:p>
    <w:p w:rsidR="009A6EA3" w:rsidRPr="00AE02D3" w:rsidRDefault="009A6EA3" w:rsidP="009A6EA3">
      <w:pPr>
        <w:spacing w:before="0" w:after="0"/>
        <w:textAlignment w:val="baseline"/>
        <w:rPr>
          <w:lang w:val="nn-NO"/>
        </w:rPr>
      </w:pPr>
      <w:r w:rsidRPr="00AE02D3">
        <w:rPr>
          <w:lang w:val="nn-NO"/>
        </w:rPr>
        <w:t>I 2019</w:t>
      </w:r>
      <w:r w:rsidR="00B136E1" w:rsidRPr="00AE02D3">
        <w:rPr>
          <w:lang w:val="nn-NO"/>
        </w:rPr>
        <w:t xml:space="preserve"> førte</w:t>
      </w:r>
      <w:r w:rsidRPr="00AE02D3">
        <w:rPr>
          <w:lang w:val="nn-NO"/>
        </w:rPr>
        <w:t xml:space="preserve"> LDO </w:t>
      </w:r>
      <w:r w:rsidR="00B136E1" w:rsidRPr="00AE02D3">
        <w:rPr>
          <w:lang w:val="nn-NO"/>
        </w:rPr>
        <w:t xml:space="preserve">vidare </w:t>
      </w:r>
      <w:r w:rsidRPr="00AE02D3">
        <w:rPr>
          <w:lang w:val="nn-NO"/>
        </w:rPr>
        <w:t>arbeidet med den e</w:t>
      </w:r>
      <w:r w:rsidR="00B136E1" w:rsidRPr="00AE02D3">
        <w:rPr>
          <w:lang w:val="nn-NO"/>
        </w:rPr>
        <w:t>uropeiske personvernforordninga</w:t>
      </w:r>
      <w:r w:rsidRPr="00AE02D3">
        <w:rPr>
          <w:lang w:val="nn-NO"/>
        </w:rPr>
        <w:t xml:space="preserve">. Vi har revidert styringssystemet for </w:t>
      </w:r>
      <w:r w:rsidR="000B1516" w:rsidRPr="00AE02D3">
        <w:rPr>
          <w:lang w:val="nn-NO"/>
        </w:rPr>
        <w:t xml:space="preserve">å </w:t>
      </w:r>
      <w:r w:rsidRPr="00AE02D3">
        <w:rPr>
          <w:lang w:val="nn-NO"/>
        </w:rPr>
        <w:t>be</w:t>
      </w:r>
      <w:r w:rsidR="00B136E1" w:rsidRPr="00AE02D3">
        <w:rPr>
          <w:lang w:val="nn-NO"/>
        </w:rPr>
        <w:t>tre</w:t>
      </w:r>
      <w:r w:rsidR="000B1516" w:rsidRPr="00AE02D3">
        <w:rPr>
          <w:lang w:val="nn-NO"/>
        </w:rPr>
        <w:t xml:space="preserve"> ivaret</w:t>
      </w:r>
      <w:r w:rsidR="009C5CBB" w:rsidRPr="00AE02D3">
        <w:rPr>
          <w:lang w:val="nn-NO"/>
        </w:rPr>
        <w:t>a informasjonstryggleiken knytt</w:t>
      </w:r>
      <w:r w:rsidR="000B1516" w:rsidRPr="00AE02D3">
        <w:rPr>
          <w:lang w:val="nn-NO"/>
        </w:rPr>
        <w:t xml:space="preserve"> til personopplysninga</w:t>
      </w:r>
      <w:r w:rsidRPr="00AE02D3">
        <w:rPr>
          <w:lang w:val="nn-NO"/>
        </w:rPr>
        <w:t xml:space="preserve">r. </w:t>
      </w:r>
    </w:p>
    <w:p w:rsidR="009A6EA3" w:rsidRPr="00AE02D3" w:rsidRDefault="009A6EA3" w:rsidP="009A6EA3">
      <w:pPr>
        <w:spacing w:before="0" w:after="0"/>
        <w:textAlignment w:val="baseline"/>
        <w:rPr>
          <w:lang w:val="nn-NO"/>
        </w:rPr>
      </w:pPr>
      <w:r w:rsidRPr="00AE02D3">
        <w:rPr>
          <w:lang w:val="nn-NO"/>
        </w:rPr>
        <w:t>I tillegg har vi fått på plass e</w:t>
      </w:r>
      <w:r w:rsidR="000B1516" w:rsidRPr="00AE02D3">
        <w:rPr>
          <w:lang w:val="nn-NO"/>
        </w:rPr>
        <w:t>it bet</w:t>
      </w:r>
      <w:r w:rsidRPr="00AE02D3">
        <w:rPr>
          <w:lang w:val="nn-NO"/>
        </w:rPr>
        <w:t>re</w:t>
      </w:r>
      <w:r w:rsidR="000B1516" w:rsidRPr="00AE02D3">
        <w:rPr>
          <w:lang w:val="nn-NO"/>
        </w:rPr>
        <w:t xml:space="preserve"> system for påmeldinger til LDO sine </w:t>
      </w:r>
      <w:r w:rsidRPr="00AE02D3">
        <w:rPr>
          <w:lang w:val="nn-NO"/>
        </w:rPr>
        <w:t>arrange</w:t>
      </w:r>
      <w:r w:rsidR="000B1516" w:rsidRPr="00AE02D3">
        <w:rPr>
          <w:lang w:val="nn-NO"/>
        </w:rPr>
        <w:t>ment.</w:t>
      </w:r>
      <w:r w:rsidRPr="00AE02D3">
        <w:rPr>
          <w:lang w:val="nn-NO"/>
        </w:rPr>
        <w:t xml:space="preserve"> Informasjonen vi </w:t>
      </w:r>
      <w:r w:rsidR="000B1516" w:rsidRPr="00AE02D3">
        <w:rPr>
          <w:lang w:val="nn-NO"/>
        </w:rPr>
        <w:t>tek i mot</w:t>
      </w:r>
      <w:r w:rsidRPr="00AE02D3">
        <w:rPr>
          <w:lang w:val="nn-NO"/>
        </w:rPr>
        <w:t xml:space="preserve"> i </w:t>
      </w:r>
      <w:r w:rsidR="000B1516" w:rsidRPr="00AE02D3">
        <w:rPr>
          <w:lang w:val="nn-NO"/>
        </w:rPr>
        <w:t>samband med påmeldinga</w:t>
      </w:r>
      <w:r w:rsidRPr="00AE02D3">
        <w:rPr>
          <w:lang w:val="nn-NO"/>
        </w:rPr>
        <w:t xml:space="preserve">r til </w:t>
      </w:r>
      <w:r w:rsidR="000B1516" w:rsidRPr="00AE02D3">
        <w:rPr>
          <w:lang w:val="nn-NO"/>
        </w:rPr>
        <w:t>kursa og konferansane våre blir sletta automatisk etter 30 daga</w:t>
      </w:r>
      <w:r w:rsidR="00FB54E2" w:rsidRPr="00AE02D3">
        <w:rPr>
          <w:lang w:val="nn-NO"/>
        </w:rPr>
        <w:t>r. I tillegg har LDO innført ei</w:t>
      </w:r>
      <w:r w:rsidRPr="00AE02D3">
        <w:rPr>
          <w:lang w:val="nn-NO"/>
        </w:rPr>
        <w:t xml:space="preserve"> rutine om å slette </w:t>
      </w:r>
      <w:r w:rsidR="00FB54E2" w:rsidRPr="00AE02D3">
        <w:rPr>
          <w:lang w:val="nn-NO"/>
        </w:rPr>
        <w:t>databasen for påmeldingar på serveren årle</w:t>
      </w:r>
      <w:r w:rsidRPr="00AE02D3">
        <w:rPr>
          <w:lang w:val="nn-NO"/>
        </w:rPr>
        <w:t>g.</w:t>
      </w:r>
    </w:p>
    <w:p w:rsidR="009A6EA3" w:rsidRPr="00AE02D3" w:rsidRDefault="009A6EA3" w:rsidP="009A6EA3">
      <w:pPr>
        <w:spacing w:before="0" w:after="0"/>
        <w:textAlignment w:val="baseline"/>
        <w:rPr>
          <w:color w:val="00B050"/>
          <w:lang w:val="nn-NO"/>
        </w:rPr>
      </w:pPr>
    </w:p>
    <w:p w:rsidR="009A6EA3" w:rsidRPr="00620219" w:rsidRDefault="009A6EA3" w:rsidP="00620219">
      <w:pPr>
        <w:spacing w:after="0"/>
        <w:rPr>
          <w:b/>
          <w:bCs/>
          <w:lang w:val="nn-NO"/>
        </w:rPr>
      </w:pPr>
      <w:r w:rsidRPr="00FA1436">
        <w:rPr>
          <w:b/>
          <w:bCs/>
          <w:lang w:val="nn-NO"/>
        </w:rPr>
        <w:t xml:space="preserve">Sakshandsamingstid på rettleiinga </w:t>
      </w:r>
      <w:r w:rsidR="00620219">
        <w:rPr>
          <w:b/>
          <w:bCs/>
          <w:lang w:val="nn-NO"/>
        </w:rPr>
        <w:br/>
      </w:r>
      <w:r w:rsidRPr="00FA1436">
        <w:rPr>
          <w:lang w:val="nn-NO"/>
        </w:rPr>
        <w:t>LDO har eit mål om å gje folk hjelp raskt. Vi har difor</w:t>
      </w:r>
      <w:r w:rsidR="00AA6D57">
        <w:rPr>
          <w:lang w:val="nn-NO"/>
        </w:rPr>
        <w:t xml:space="preserve"> fortsett</w:t>
      </w:r>
      <w:r w:rsidRPr="00FA1436">
        <w:rPr>
          <w:lang w:val="nn-NO"/>
        </w:rPr>
        <w:t xml:space="preserve"> arbeidet vårt med å redusere sakshandsamingstid</w:t>
      </w:r>
      <w:r w:rsidR="002944E6">
        <w:rPr>
          <w:lang w:val="nn-NO"/>
        </w:rPr>
        <w:t>a</w:t>
      </w:r>
      <w:r w:rsidRPr="00FA1436">
        <w:rPr>
          <w:lang w:val="nn-NO"/>
        </w:rPr>
        <w:t xml:space="preserve"> på rettleiingssaker. Av dei 1988 rettleiingssakene som er registrert i 2019, er </w:t>
      </w:r>
      <w:r>
        <w:rPr>
          <w:lang w:val="nn-NO"/>
        </w:rPr>
        <w:t xml:space="preserve">1551 </w:t>
      </w:r>
      <w:r w:rsidRPr="00FA1436">
        <w:rPr>
          <w:lang w:val="nn-NO"/>
        </w:rPr>
        <w:t xml:space="preserve">avslutta i løpet av </w:t>
      </w:r>
      <w:r>
        <w:rPr>
          <w:lang w:val="nn-NO"/>
        </w:rPr>
        <w:t>året</w:t>
      </w:r>
      <w:r w:rsidRPr="00FA1436">
        <w:rPr>
          <w:lang w:val="nn-NO"/>
        </w:rPr>
        <w:t xml:space="preserve"> (</w:t>
      </w:r>
      <w:r>
        <w:rPr>
          <w:lang w:val="nn-NO"/>
        </w:rPr>
        <w:t>7</w:t>
      </w:r>
      <w:r w:rsidR="00C437FF">
        <w:rPr>
          <w:lang w:val="nn-NO"/>
        </w:rPr>
        <w:t>8 prosent). Gjen</w:t>
      </w:r>
      <w:r w:rsidR="009A7D98">
        <w:rPr>
          <w:lang w:val="nn-NO"/>
        </w:rPr>
        <w:t>n</w:t>
      </w:r>
      <w:r w:rsidRPr="00FA1436">
        <w:rPr>
          <w:lang w:val="nn-NO"/>
        </w:rPr>
        <w:t xml:space="preserve">omsnittleg handsamingstid for sakene som er avslutta er </w:t>
      </w:r>
      <w:r>
        <w:rPr>
          <w:lang w:val="nn-NO"/>
        </w:rPr>
        <w:t>åtte</w:t>
      </w:r>
      <w:r w:rsidRPr="00FA1436">
        <w:rPr>
          <w:lang w:val="nn-NO"/>
        </w:rPr>
        <w:t xml:space="preserve"> dagar i 201</w:t>
      </w:r>
      <w:r>
        <w:rPr>
          <w:lang w:val="nn-NO"/>
        </w:rPr>
        <w:t>9</w:t>
      </w:r>
      <w:r w:rsidRPr="00FA1436">
        <w:rPr>
          <w:lang w:val="nn-NO"/>
        </w:rPr>
        <w:t xml:space="preserve">, ein nedgang frå </w:t>
      </w:r>
      <w:r>
        <w:rPr>
          <w:lang w:val="nn-NO"/>
        </w:rPr>
        <w:t>ni</w:t>
      </w:r>
      <w:r w:rsidRPr="00FA1436">
        <w:rPr>
          <w:lang w:val="nn-NO"/>
        </w:rPr>
        <w:t xml:space="preserve"> dagar i 201</w:t>
      </w:r>
      <w:r>
        <w:rPr>
          <w:lang w:val="nn-NO"/>
        </w:rPr>
        <w:t>8</w:t>
      </w:r>
      <w:r w:rsidRPr="00FA1436">
        <w:rPr>
          <w:lang w:val="nn-NO"/>
        </w:rPr>
        <w:t>.</w:t>
      </w:r>
      <w:r w:rsidRPr="004C1D84">
        <w:rPr>
          <w:lang w:val="nn-NO"/>
        </w:rPr>
        <w:t xml:space="preserve"> </w:t>
      </w:r>
      <w:r w:rsidRPr="004C1D84">
        <w:rPr>
          <w:lang w:val="nn-NO"/>
        </w:rPr>
        <w:br/>
      </w:r>
    </w:p>
    <w:p w:rsidR="00620219" w:rsidRPr="008B7CA4" w:rsidRDefault="009A6EA3" w:rsidP="009A6EA3">
      <w:pPr>
        <w:autoSpaceDE w:val="0"/>
        <w:autoSpaceDN w:val="0"/>
        <w:adjustRightInd w:val="0"/>
        <w:spacing w:before="0" w:after="0"/>
        <w:rPr>
          <w:b/>
          <w:bCs/>
          <w:lang w:val="nn-NO"/>
        </w:rPr>
      </w:pPr>
      <w:r w:rsidRPr="008B7CA4">
        <w:rPr>
          <w:b/>
          <w:bCs/>
          <w:lang w:val="nn-NO"/>
        </w:rPr>
        <w:t xml:space="preserve">Sjukefråvær </w:t>
      </w:r>
    </w:p>
    <w:p w:rsidR="00620219" w:rsidRPr="00620219" w:rsidRDefault="00620219" w:rsidP="00620219">
      <w:pPr>
        <w:spacing w:before="0" w:after="240" w:line="252" w:lineRule="auto"/>
        <w:rPr>
          <w:rFonts w:ascii="Calibri" w:eastAsiaTheme="minorHAnsi" w:hAnsi="Calibri" w:cs="Calibri"/>
          <w:sz w:val="22"/>
          <w:szCs w:val="22"/>
          <w:lang w:val="nn-NO" w:eastAsia="en-US"/>
        </w:rPr>
      </w:pPr>
      <w:r w:rsidRPr="00620219">
        <w:rPr>
          <w:rFonts w:eastAsiaTheme="minorHAnsi"/>
          <w:lang w:val="nn-NO" w:eastAsia="en-US"/>
        </w:rPr>
        <w:t>Det samla sjukefrå</w:t>
      </w:r>
      <w:r w:rsidR="00E57AF3">
        <w:rPr>
          <w:rFonts w:eastAsiaTheme="minorHAnsi"/>
          <w:lang w:val="nn-NO" w:eastAsia="en-US"/>
        </w:rPr>
        <w:t>vere</w:t>
      </w:r>
      <w:r w:rsidRPr="00620219">
        <w:rPr>
          <w:rFonts w:eastAsiaTheme="minorHAnsi"/>
          <w:lang w:val="nn-NO" w:eastAsia="en-US"/>
        </w:rPr>
        <w:t>t gjennom året i LDO var på 7,1 prosent.</w:t>
      </w:r>
      <w:r w:rsidR="00103F3D" w:rsidRPr="00675F49">
        <w:rPr>
          <w:rFonts w:eastAsiaTheme="minorHAnsi"/>
          <w:lang w:val="nn-NO" w:eastAsia="en-US"/>
        </w:rPr>
        <w:t xml:space="preserve"> </w:t>
      </w:r>
      <w:r w:rsidRPr="00675F49">
        <w:rPr>
          <w:rFonts w:eastAsiaTheme="minorHAnsi"/>
          <w:lang w:val="nn-NO" w:eastAsia="en-US"/>
        </w:rPr>
        <w:t xml:space="preserve">Av </w:t>
      </w:r>
      <w:r w:rsidR="005F44CE">
        <w:rPr>
          <w:rFonts w:eastAsiaTheme="minorHAnsi"/>
          <w:lang w:val="nn-NO" w:eastAsia="en-US"/>
        </w:rPr>
        <w:t>dette var 5,8 prosent legemeldt</w:t>
      </w:r>
      <w:r w:rsidRPr="00675F49">
        <w:rPr>
          <w:rFonts w:eastAsiaTheme="minorHAnsi"/>
          <w:lang w:val="nn-NO" w:eastAsia="en-US"/>
        </w:rPr>
        <w:t xml:space="preserve"> fråvær, ei</w:t>
      </w:r>
      <w:r w:rsidR="005F44CE">
        <w:rPr>
          <w:rFonts w:eastAsiaTheme="minorHAnsi"/>
          <w:lang w:val="nn-NO" w:eastAsia="en-US"/>
        </w:rPr>
        <w:t>n</w:t>
      </w:r>
      <w:r w:rsidRPr="00675F49">
        <w:rPr>
          <w:rFonts w:eastAsiaTheme="minorHAnsi"/>
          <w:lang w:val="nn-NO" w:eastAsia="en-US"/>
        </w:rPr>
        <w:t xml:space="preserve"> svak nedgang frå 2018. </w:t>
      </w:r>
      <w:r w:rsidR="00675F49">
        <w:rPr>
          <w:rFonts w:eastAsiaTheme="minorHAnsi"/>
          <w:lang w:val="nn-NO" w:eastAsia="en-US"/>
        </w:rPr>
        <w:t>Sjukefrå</w:t>
      </w:r>
      <w:r w:rsidR="00E57AF3">
        <w:rPr>
          <w:rFonts w:eastAsiaTheme="minorHAnsi"/>
          <w:lang w:val="nn-NO" w:eastAsia="en-US"/>
        </w:rPr>
        <w:t>vere</w:t>
      </w:r>
      <w:r w:rsidR="00675F49">
        <w:rPr>
          <w:rFonts w:eastAsiaTheme="minorHAnsi"/>
          <w:lang w:val="nn-NO" w:eastAsia="en-US"/>
        </w:rPr>
        <w:t xml:space="preserve">t er </w:t>
      </w:r>
      <w:r w:rsidR="005F44CE">
        <w:rPr>
          <w:rFonts w:eastAsiaTheme="minorHAnsi"/>
          <w:lang w:val="nn-NO" w:eastAsia="en-US"/>
        </w:rPr>
        <w:t>noko</w:t>
      </w:r>
      <w:r w:rsidR="00057362">
        <w:rPr>
          <w:rFonts w:eastAsiaTheme="minorHAnsi"/>
          <w:lang w:val="nn-NO" w:eastAsia="en-US"/>
        </w:rPr>
        <w:t xml:space="preserve"> </w:t>
      </w:r>
      <w:r w:rsidR="005F44CE">
        <w:rPr>
          <w:rFonts w:eastAsiaTheme="minorHAnsi"/>
          <w:lang w:val="nn-NO" w:eastAsia="en-US"/>
        </w:rPr>
        <w:t>høgt saman</w:t>
      </w:r>
      <w:r w:rsidR="00675F49">
        <w:rPr>
          <w:rFonts w:eastAsiaTheme="minorHAnsi"/>
          <w:lang w:val="nn-NO" w:eastAsia="en-US"/>
        </w:rPr>
        <w:t xml:space="preserve">likna med sektoren og næringa som verksemda høyrer til. </w:t>
      </w:r>
      <w:r w:rsidRPr="00620219">
        <w:rPr>
          <w:rFonts w:eastAsiaTheme="minorHAnsi"/>
          <w:lang w:val="nn-NO" w:eastAsia="en-US"/>
        </w:rPr>
        <w:t xml:space="preserve">Vi har gode rutinar for </w:t>
      </w:r>
      <w:r w:rsidR="005F44CE">
        <w:rPr>
          <w:rFonts w:eastAsiaTheme="minorHAnsi"/>
          <w:lang w:val="nn-NO" w:eastAsia="en-US"/>
        </w:rPr>
        <w:t>å følje op</w:t>
      </w:r>
      <w:r w:rsidR="0072754E">
        <w:rPr>
          <w:rFonts w:eastAsiaTheme="minorHAnsi"/>
          <w:lang w:val="nn-NO" w:eastAsia="en-US"/>
        </w:rPr>
        <w:t>p medarbeidarar og sjukefråvær</w:t>
      </w:r>
      <w:r w:rsidR="00541F5E">
        <w:rPr>
          <w:rFonts w:eastAsiaTheme="minorHAnsi"/>
          <w:lang w:val="nn-NO" w:eastAsia="en-US"/>
        </w:rPr>
        <w:t xml:space="preserve">, og vi er </w:t>
      </w:r>
      <w:r w:rsidR="005F44CE">
        <w:rPr>
          <w:rFonts w:eastAsiaTheme="minorHAnsi"/>
          <w:lang w:val="nn-NO" w:eastAsia="en-US"/>
        </w:rPr>
        <w:t>merksa</w:t>
      </w:r>
      <w:r w:rsidR="00CB6D28">
        <w:rPr>
          <w:rFonts w:eastAsiaTheme="minorHAnsi"/>
          <w:lang w:val="nn-NO" w:eastAsia="en-US"/>
        </w:rPr>
        <w:t>m</w:t>
      </w:r>
      <w:r w:rsidR="00B27CAA">
        <w:rPr>
          <w:rFonts w:eastAsiaTheme="minorHAnsi"/>
          <w:lang w:val="nn-NO" w:eastAsia="en-US"/>
        </w:rPr>
        <w:t>e</w:t>
      </w:r>
      <w:r w:rsidR="00CB6D28">
        <w:rPr>
          <w:rFonts w:eastAsiaTheme="minorHAnsi"/>
          <w:lang w:val="nn-NO" w:eastAsia="en-US"/>
        </w:rPr>
        <w:t xml:space="preserve"> på å</w:t>
      </w:r>
      <w:r w:rsidR="00280F7D">
        <w:rPr>
          <w:rFonts w:eastAsiaTheme="minorHAnsi"/>
          <w:lang w:val="nn-NO" w:eastAsia="en-US"/>
        </w:rPr>
        <w:t xml:space="preserve">rsaka </w:t>
      </w:r>
      <w:r w:rsidR="0047565C">
        <w:rPr>
          <w:rFonts w:eastAsiaTheme="minorHAnsi"/>
          <w:lang w:val="nn-NO" w:eastAsia="en-US"/>
        </w:rPr>
        <w:t>til fr</w:t>
      </w:r>
      <w:r w:rsidR="00280F7D">
        <w:rPr>
          <w:rFonts w:eastAsiaTheme="minorHAnsi"/>
          <w:lang w:val="nn-NO" w:eastAsia="en-US"/>
        </w:rPr>
        <w:t>å</w:t>
      </w:r>
      <w:r w:rsidR="00CB6D28">
        <w:rPr>
          <w:rFonts w:eastAsiaTheme="minorHAnsi"/>
          <w:lang w:val="nn-NO" w:eastAsia="en-US"/>
        </w:rPr>
        <w:t>væ</w:t>
      </w:r>
      <w:r w:rsidR="00E57AF3">
        <w:rPr>
          <w:rFonts w:eastAsiaTheme="minorHAnsi"/>
          <w:lang w:val="nn-NO" w:eastAsia="en-US"/>
        </w:rPr>
        <w:t>re</w:t>
      </w:r>
      <w:r w:rsidR="0047565C">
        <w:rPr>
          <w:rFonts w:eastAsiaTheme="minorHAnsi"/>
          <w:lang w:val="nn-NO" w:eastAsia="en-US"/>
        </w:rPr>
        <w:t>t</w:t>
      </w:r>
      <w:r w:rsidRPr="00620219">
        <w:rPr>
          <w:rFonts w:eastAsiaTheme="minorHAnsi"/>
          <w:lang w:val="nn-NO" w:eastAsia="en-US"/>
        </w:rPr>
        <w:t xml:space="preserve">. </w:t>
      </w:r>
    </w:p>
    <w:p w:rsidR="009A6EA3" w:rsidRPr="00620219" w:rsidRDefault="009A6EA3" w:rsidP="009A6EA3">
      <w:pPr>
        <w:rPr>
          <w:rFonts w:eastAsiaTheme="majorEastAsia"/>
          <w:b/>
          <w:lang w:val="nn-NO"/>
        </w:rPr>
      </w:pPr>
      <w:r w:rsidRPr="004C1D84">
        <w:rPr>
          <w:rFonts w:eastAsiaTheme="majorEastAsia"/>
          <w:b/>
          <w:lang w:val="nn-NO"/>
        </w:rPr>
        <w:t>Tryggleik for våre tilsette</w:t>
      </w:r>
      <w:r w:rsidR="00620219">
        <w:rPr>
          <w:rFonts w:eastAsiaTheme="majorEastAsia"/>
          <w:b/>
          <w:lang w:val="nn-NO"/>
        </w:rPr>
        <w:br/>
      </w:r>
      <w:r w:rsidRPr="004C1D84">
        <w:rPr>
          <w:lang w:val="nn-NO"/>
        </w:rPr>
        <w:t xml:space="preserve">LDO skal vere eit reelt lågterskeltilbod. Folk skal til dømes kunne kontakte ombodet ved personleg </w:t>
      </w:r>
      <w:r w:rsidR="0039259C">
        <w:rPr>
          <w:lang w:val="nn-NO"/>
        </w:rPr>
        <w:t>fra</w:t>
      </w:r>
      <w:r w:rsidRPr="004C1D84">
        <w:rPr>
          <w:lang w:val="nn-NO"/>
        </w:rPr>
        <w:t xml:space="preserve">mmøte og få snakke med våre </w:t>
      </w:r>
      <w:r w:rsidR="0039259C">
        <w:rPr>
          <w:lang w:val="nn-NO"/>
        </w:rPr>
        <w:t>veiledarar</w:t>
      </w:r>
      <w:r w:rsidRPr="004C1D84">
        <w:rPr>
          <w:lang w:val="nn-NO"/>
        </w:rPr>
        <w:t xml:space="preserve">. LDO har utarbeida ein eigen tryggleiksinstruks til bruk ved førstegongs personleg </w:t>
      </w:r>
      <w:r w:rsidR="0039259C">
        <w:rPr>
          <w:lang w:val="nn-NO"/>
        </w:rPr>
        <w:t>fra</w:t>
      </w:r>
      <w:r w:rsidRPr="004C1D84">
        <w:rPr>
          <w:lang w:val="nn-NO"/>
        </w:rPr>
        <w:t xml:space="preserve">mmøte. Tryggleik for medarbeidarane er alltid prioritert hos oss. </w:t>
      </w:r>
    </w:p>
    <w:p w:rsidR="009A6EA3" w:rsidRPr="004C1D84" w:rsidRDefault="000346B9" w:rsidP="009A6EA3">
      <w:pPr>
        <w:outlineLvl w:val="2"/>
        <w:rPr>
          <w:rFonts w:eastAsiaTheme="majorEastAsia"/>
          <w:b/>
          <w:lang w:val="nn-NO"/>
        </w:rPr>
      </w:pPr>
      <w:bookmarkStart w:id="19" w:name="_Toc2771486"/>
      <w:r>
        <w:rPr>
          <w:rFonts w:eastAsiaTheme="majorEastAsia"/>
          <w:b/>
          <w:lang w:val="nn-NO"/>
        </w:rPr>
        <w:br/>
      </w:r>
      <w:r w:rsidR="009A6EA3" w:rsidRPr="004C1D84">
        <w:rPr>
          <w:rFonts w:eastAsiaTheme="majorEastAsia"/>
          <w:b/>
          <w:lang w:val="nn-NO"/>
        </w:rPr>
        <w:t>Kriseberedskap</w:t>
      </w:r>
      <w:bookmarkEnd w:id="19"/>
    </w:p>
    <w:p w:rsidR="009A6EA3" w:rsidRPr="004C1D84" w:rsidRDefault="003A7D3F" w:rsidP="009A6EA3">
      <w:pPr>
        <w:rPr>
          <w:lang w:val="nn-NO"/>
        </w:rPr>
      </w:pPr>
      <w:r>
        <w:rPr>
          <w:lang w:val="nn-NO"/>
        </w:rPr>
        <w:t>Ombodet har laga ein</w:t>
      </w:r>
      <w:r w:rsidR="009A6EA3" w:rsidRPr="004C1D84">
        <w:rPr>
          <w:lang w:val="nn-NO"/>
        </w:rPr>
        <w:t xml:space="preserve"> kriseplan. Planen er uspesi</w:t>
      </w:r>
      <w:r>
        <w:rPr>
          <w:lang w:val="nn-NO"/>
        </w:rPr>
        <w:t>fi</w:t>
      </w:r>
      <w:r w:rsidR="00473CEF">
        <w:rPr>
          <w:lang w:val="nn-NO"/>
        </w:rPr>
        <w:t>kk</w:t>
      </w:r>
      <w:r w:rsidR="009A6EA3" w:rsidRPr="004C1D84">
        <w:rPr>
          <w:lang w:val="nn-NO"/>
        </w:rPr>
        <w:t xml:space="preserve"> kva gjeld situasjonar. Den er kortfatta og legg vekt på det som er nyttig for ombodet si leiing i ei krise. Kriseplanen er eit dynamisk doku</w:t>
      </w:r>
      <w:r w:rsidR="007F616A">
        <w:rPr>
          <w:lang w:val="nn-NO"/>
        </w:rPr>
        <w:t>me</w:t>
      </w:r>
      <w:r w:rsidR="00E57AF3">
        <w:rPr>
          <w:lang w:val="nn-NO"/>
        </w:rPr>
        <w:t>nt</w:t>
      </w:r>
      <w:r w:rsidR="009A6EA3" w:rsidRPr="004C1D84">
        <w:rPr>
          <w:lang w:val="nn-NO"/>
        </w:rPr>
        <w:t xml:space="preserve"> som vert oppdatert fortløpande.</w:t>
      </w:r>
      <w:r w:rsidR="000346B9">
        <w:rPr>
          <w:lang w:val="nn-NO"/>
        </w:rPr>
        <w:t xml:space="preserve"> Ledergruppa gjennomførte e</w:t>
      </w:r>
      <w:r w:rsidR="007F616A">
        <w:rPr>
          <w:lang w:val="nn-NO"/>
        </w:rPr>
        <w:t xml:space="preserve">i kriseøving </w:t>
      </w:r>
      <w:r w:rsidR="000346B9">
        <w:rPr>
          <w:lang w:val="nn-NO"/>
        </w:rPr>
        <w:t xml:space="preserve">i 2019.  </w:t>
      </w:r>
    </w:p>
    <w:p w:rsidR="009A6EA3" w:rsidRPr="004C1D84" w:rsidRDefault="009A6EA3" w:rsidP="009A6EA3">
      <w:pPr>
        <w:rPr>
          <w:lang w:val="nn-NO"/>
        </w:rPr>
      </w:pPr>
    </w:p>
    <w:p w:rsidR="009A6EA3" w:rsidRPr="004C1D84" w:rsidRDefault="009A6EA3" w:rsidP="009A6EA3">
      <w:pPr>
        <w:keepNext/>
        <w:keepLines/>
        <w:spacing w:before="200" w:after="0"/>
        <w:outlineLvl w:val="2"/>
        <w:rPr>
          <w:rFonts w:eastAsiaTheme="majorEastAsia"/>
          <w:b/>
          <w:bCs/>
          <w:lang w:val="nn-NO"/>
        </w:rPr>
      </w:pPr>
      <w:bookmarkStart w:id="20" w:name="_Toc2771487"/>
      <w:r w:rsidRPr="004C1D84">
        <w:rPr>
          <w:rFonts w:eastAsiaTheme="majorEastAsia"/>
          <w:b/>
          <w:bCs/>
          <w:lang w:val="nn-NO"/>
        </w:rPr>
        <w:t>Varslingsrutinar</w:t>
      </w:r>
      <w:bookmarkEnd w:id="20"/>
    </w:p>
    <w:p w:rsidR="009A6EA3" w:rsidRDefault="009A6EA3" w:rsidP="009A6EA3">
      <w:pPr>
        <w:rPr>
          <w:lang w:val="nn-NO"/>
        </w:rPr>
      </w:pPr>
      <w:r w:rsidRPr="004C1D84">
        <w:rPr>
          <w:lang w:val="nn-NO"/>
        </w:rPr>
        <w:t>LDO har ein intern rutine for varsling som inkluder</w:t>
      </w:r>
      <w:r w:rsidR="00E1266B">
        <w:rPr>
          <w:lang w:val="nn-NO"/>
        </w:rPr>
        <w:t>a</w:t>
      </w:r>
      <w:r w:rsidRPr="004C1D84">
        <w:rPr>
          <w:lang w:val="nn-NO"/>
        </w:rPr>
        <w:t xml:space="preserve">r ein varslingsplakat som heng godt synleg i </w:t>
      </w:r>
      <w:r w:rsidR="00E1266B">
        <w:rPr>
          <w:lang w:val="nn-NO"/>
        </w:rPr>
        <w:t>l</w:t>
      </w:r>
      <w:r w:rsidR="00490A67">
        <w:rPr>
          <w:lang w:val="nn-NO"/>
        </w:rPr>
        <w:t>okala</w:t>
      </w:r>
      <w:r w:rsidR="00E1266B">
        <w:rPr>
          <w:lang w:val="nn-NO"/>
        </w:rPr>
        <w:t xml:space="preserve"> våre</w:t>
      </w:r>
      <w:r w:rsidRPr="004C1D84">
        <w:rPr>
          <w:lang w:val="nn-NO"/>
        </w:rPr>
        <w:t>. I rutinane fokuserer vi på at varsling er både ei plikt og eit</w:t>
      </w:r>
      <w:r w:rsidR="00E1266B">
        <w:rPr>
          <w:lang w:val="nn-NO"/>
        </w:rPr>
        <w:t xml:space="preserve"> høve. Våre varslingsrutinar gjev</w:t>
      </w:r>
      <w:r w:rsidRPr="004C1D84">
        <w:rPr>
          <w:lang w:val="nn-NO"/>
        </w:rPr>
        <w:t xml:space="preserve"> rettleiing til både den som varslar og til leiinga som skal handsame varselet. </w:t>
      </w:r>
      <w:r w:rsidR="00E1266B">
        <w:rPr>
          <w:lang w:val="nn-NO"/>
        </w:rPr>
        <w:t>Varslingsrutinane</w:t>
      </w:r>
      <w:r w:rsidR="008A33AE">
        <w:rPr>
          <w:lang w:val="nn-NO"/>
        </w:rPr>
        <w:t xml:space="preserve"> vil bli revidert i 2020 i samband med dei nye reglane i arbeidsmiljølova. </w:t>
      </w:r>
      <w:r w:rsidRPr="004C1D84">
        <w:rPr>
          <w:lang w:val="nn-NO"/>
        </w:rPr>
        <w:br/>
      </w:r>
    </w:p>
    <w:p w:rsidR="002201FD" w:rsidRPr="004C1D84" w:rsidRDefault="002201FD" w:rsidP="009A6EA3">
      <w:pPr>
        <w:rPr>
          <w:lang w:val="nn-NO"/>
        </w:rPr>
      </w:pPr>
    </w:p>
    <w:p w:rsidR="009A6EA3" w:rsidRPr="00B02DBE" w:rsidRDefault="009A6EA3" w:rsidP="009A6EA3">
      <w:pPr>
        <w:outlineLvl w:val="2"/>
        <w:rPr>
          <w:rFonts w:eastAsiaTheme="majorEastAsia"/>
          <w:b/>
          <w:lang w:val="nn-NO"/>
        </w:rPr>
      </w:pPr>
      <w:bookmarkStart w:id="21" w:name="_Toc2771488"/>
      <w:r w:rsidRPr="00B02DBE">
        <w:rPr>
          <w:rFonts w:eastAsiaTheme="majorEastAsia"/>
          <w:b/>
          <w:lang w:val="nn-NO"/>
        </w:rPr>
        <w:lastRenderedPageBreak/>
        <w:t>Universell utforming i eigne lokal</w:t>
      </w:r>
      <w:bookmarkEnd w:id="21"/>
      <w:r w:rsidRPr="00B02DBE">
        <w:rPr>
          <w:rFonts w:eastAsiaTheme="majorEastAsia"/>
          <w:b/>
          <w:lang w:val="nn-NO"/>
        </w:rPr>
        <w:t>e</w:t>
      </w:r>
    </w:p>
    <w:p w:rsidR="009A6EA3" w:rsidRPr="00B02DBE" w:rsidRDefault="009A6EA3" w:rsidP="009A6EA3">
      <w:pPr>
        <w:rPr>
          <w:lang w:val="nn-NO"/>
        </w:rPr>
      </w:pPr>
      <w:r w:rsidRPr="00B02DBE">
        <w:rPr>
          <w:lang w:val="nn-NO"/>
        </w:rPr>
        <w:t xml:space="preserve">Likestillings- og diskrimineringsombodet har halde til i dei same moderne lokala i Oslo sentrum sidan hausten 2009. Det er viktig at lokala våre har god tilgang. Dette heng </w:t>
      </w:r>
      <w:r w:rsidR="00BC035C">
        <w:rPr>
          <w:lang w:val="nn-NO"/>
        </w:rPr>
        <w:t>ó</w:t>
      </w:r>
      <w:r w:rsidRPr="00B02DBE">
        <w:rPr>
          <w:lang w:val="nn-NO"/>
        </w:rPr>
        <w:t xml:space="preserve">g saman med at ombodet skal arbeide for å sikre universell utforming av samfunnet. </w:t>
      </w:r>
    </w:p>
    <w:p w:rsidR="009A6EA3" w:rsidRPr="00B02DBE" w:rsidRDefault="009A6EA3" w:rsidP="009A6EA3">
      <w:pPr>
        <w:rPr>
          <w:lang w:val="nn-NO"/>
        </w:rPr>
      </w:pPr>
      <w:r w:rsidRPr="00B02DBE">
        <w:rPr>
          <w:lang w:val="nn-NO"/>
        </w:rPr>
        <w:t xml:space="preserve">Det er teleslyngeanlegg i kontorlokala og i </w:t>
      </w:r>
      <w:r w:rsidR="00B25B22">
        <w:rPr>
          <w:lang w:val="nn-NO"/>
        </w:rPr>
        <w:t xml:space="preserve">bygget sine </w:t>
      </w:r>
      <w:r w:rsidRPr="00B02DBE">
        <w:rPr>
          <w:lang w:val="nn-NO"/>
        </w:rPr>
        <w:t>felles møterom</w:t>
      </w:r>
      <w:r w:rsidR="00B25B22">
        <w:rPr>
          <w:lang w:val="nn-NO"/>
        </w:rPr>
        <w:t xml:space="preserve"> som vi nyttar oss av. </w:t>
      </w:r>
      <w:r w:rsidRPr="00B02DBE">
        <w:rPr>
          <w:lang w:val="nn-NO"/>
        </w:rPr>
        <w:t xml:space="preserve"> Krava til universell utforming gjeld dører (dei fleste utan dørstokkar), toalett, skilting og leielinjer for synshemma i golvet. Det er også leielinjer i golvet ved heisane. </w:t>
      </w:r>
      <w:r w:rsidR="000001D4">
        <w:rPr>
          <w:lang w:val="nn-NO"/>
        </w:rPr>
        <w:t xml:space="preserve">Alle våre møterom har teleslynge. </w:t>
      </w:r>
    </w:p>
    <w:p w:rsidR="009A6EA3" w:rsidRPr="004C1D84" w:rsidRDefault="009A6EA3" w:rsidP="009A6EA3">
      <w:pPr>
        <w:rPr>
          <w:lang w:val="nn-NO"/>
        </w:rPr>
      </w:pPr>
      <w:r w:rsidRPr="00B02DBE">
        <w:rPr>
          <w:lang w:val="nn-NO"/>
        </w:rPr>
        <w:t xml:space="preserve">Ombodet har interne rutinar for å ta seg av tilsette sine behov for </w:t>
      </w:r>
      <w:r w:rsidR="00B25B22">
        <w:rPr>
          <w:lang w:val="nn-NO"/>
        </w:rPr>
        <w:t xml:space="preserve">å få ulike omstende lagt til rette for seg. </w:t>
      </w:r>
      <w:r w:rsidRPr="00B02DBE">
        <w:rPr>
          <w:lang w:val="nn-NO"/>
        </w:rPr>
        <w:t xml:space="preserve"> Nye medarbeidarar får tilbod om ein samtale om tilretteleggjing kort tid etter at dei har starta opp i stillinga. Vi har eit eige skjema for denne samtalen.</w:t>
      </w:r>
      <w:r w:rsidRPr="004C1D84">
        <w:rPr>
          <w:lang w:val="nn-NO"/>
        </w:rPr>
        <w:t xml:space="preserve"> </w:t>
      </w:r>
      <w:r w:rsidRPr="004C1D84">
        <w:rPr>
          <w:lang w:val="nn-NO"/>
        </w:rPr>
        <w:br/>
      </w:r>
    </w:p>
    <w:p w:rsidR="009A6EA3" w:rsidRPr="004C1D84" w:rsidRDefault="009A6EA3" w:rsidP="009A6EA3">
      <w:pPr>
        <w:outlineLvl w:val="2"/>
        <w:rPr>
          <w:rFonts w:eastAsiaTheme="majorEastAsia"/>
          <w:b/>
          <w:lang w:val="nn-NO"/>
        </w:rPr>
      </w:pPr>
      <w:bookmarkStart w:id="22" w:name="_Toc476060737"/>
      <w:bookmarkStart w:id="23" w:name="_Toc2771489"/>
      <w:r w:rsidRPr="004C1D84">
        <w:rPr>
          <w:rFonts w:eastAsiaTheme="majorEastAsia"/>
          <w:b/>
          <w:lang w:val="nn-NO"/>
        </w:rPr>
        <w:t xml:space="preserve">Sosiale krav i samanheng med anskaffingar i </w:t>
      </w:r>
      <w:bookmarkEnd w:id="22"/>
      <w:bookmarkEnd w:id="23"/>
      <w:r w:rsidRPr="004C1D84">
        <w:rPr>
          <w:rFonts w:eastAsiaTheme="majorEastAsia"/>
          <w:b/>
          <w:lang w:val="nn-NO"/>
        </w:rPr>
        <w:t>2019</w:t>
      </w:r>
    </w:p>
    <w:p w:rsidR="009A6EA3" w:rsidRPr="004C1D84" w:rsidRDefault="009A6EA3" w:rsidP="009A6EA3">
      <w:pPr>
        <w:rPr>
          <w:vanish/>
          <w:lang w:val="nn-NO"/>
        </w:rPr>
      </w:pPr>
      <w:r w:rsidRPr="004C1D84">
        <w:rPr>
          <w:lang w:val="nn-NO"/>
        </w:rPr>
        <w:t>LDO har interne rutinar, og følgjer både forskrift og lov om offentlege anskaffingar. Uavhengig av storleiken på LDO sine anskaffingar, har ombodet lagt til rette for at sosiale krav skal vege minst 20 prosent i prosessen for å kunne utvise samfunnsansvar. Dette gjeld både sosiale, etiske og miljømessige krav til at arbeidstakarane som har vore involvert i produksjon a</w:t>
      </w:r>
      <w:r w:rsidR="00DB789F">
        <w:rPr>
          <w:lang w:val="nn-NO"/>
        </w:rPr>
        <w:t>v varer og tenester vi nyttar oss av</w:t>
      </w:r>
      <w:r w:rsidRPr="004C1D84">
        <w:rPr>
          <w:lang w:val="nn-NO"/>
        </w:rPr>
        <w:t xml:space="preserve">, har hatt anstendige arbeidstilhøve og arbeidsvilkår, og at selskapa opererer i tråd med menneskerettane og gjeldande internasjonale og nasjonale miljøkrav og -standardar. I tillegg følgjer LDO ILO sine kjernekonvensjonar. </w:t>
      </w:r>
    </w:p>
    <w:p w:rsidR="009A6EA3" w:rsidRPr="004C1D84" w:rsidRDefault="009A6EA3" w:rsidP="009A6EA3">
      <w:pPr>
        <w:rPr>
          <w:rFonts w:eastAsiaTheme="minorHAnsi"/>
          <w:lang w:val="nn-NO"/>
        </w:rPr>
      </w:pPr>
    </w:p>
    <w:p w:rsidR="009A6EA3" w:rsidRPr="004C1D84" w:rsidRDefault="009A6EA3" w:rsidP="009A6EA3">
      <w:pPr>
        <w:spacing w:before="0" w:after="0"/>
        <w:textAlignment w:val="baseline"/>
        <w:rPr>
          <w:lang w:val="nn-NO"/>
        </w:rPr>
      </w:pPr>
      <w:r w:rsidRPr="004C1D84">
        <w:rPr>
          <w:lang w:val="nn-NO"/>
        </w:rPr>
        <w:t xml:space="preserve">Statens innkjøpssenter </w:t>
      </w:r>
      <w:r w:rsidR="007E45A4">
        <w:rPr>
          <w:lang w:val="nn-NO"/>
        </w:rPr>
        <w:t>har inngått ein del fellesavtala</w:t>
      </w:r>
      <w:r w:rsidR="00D27A74">
        <w:rPr>
          <w:lang w:val="nn-NO"/>
        </w:rPr>
        <w:t>r som vi nytta</w:t>
      </w:r>
      <w:r w:rsidRPr="004C1D84">
        <w:rPr>
          <w:lang w:val="nn-NO"/>
        </w:rPr>
        <w:t>r oss av. I 2019 hadde LDO difor berre eit nasjonalt anbod for re</w:t>
      </w:r>
      <w:r w:rsidR="007E45A4">
        <w:rPr>
          <w:lang w:val="nn-NO"/>
        </w:rPr>
        <w:t>inha</w:t>
      </w:r>
      <w:r w:rsidRPr="004C1D84">
        <w:rPr>
          <w:lang w:val="nn-NO"/>
        </w:rPr>
        <w:t>ldstenester. Vi nytta oss av portalen KGV</w:t>
      </w:r>
      <w:r w:rsidR="007E45A4">
        <w:rPr>
          <w:lang w:val="nn-NO"/>
        </w:rPr>
        <w:t xml:space="preserve">, som er eit digital </w:t>
      </w:r>
      <w:r w:rsidRPr="004C1D84">
        <w:rPr>
          <w:lang w:val="nn-NO"/>
        </w:rPr>
        <w:t>verktøy frå DFØ. Anbodet vart óg publisert på Doffin. All kommunikasjon i anbodsprosessen skjedde via KGV. Dei sosiale krava vart ivaretatt. LDO ba også om relevant doku</w:t>
      </w:r>
      <w:r w:rsidR="007E45A4">
        <w:rPr>
          <w:lang w:val="nn-NO"/>
        </w:rPr>
        <w:t>me</w:t>
      </w:r>
      <w:r w:rsidR="00E57AF3">
        <w:rPr>
          <w:lang w:val="nn-NO"/>
        </w:rPr>
        <w:t>nt</w:t>
      </w:r>
      <w:r w:rsidRPr="004C1D84">
        <w:rPr>
          <w:lang w:val="nn-NO"/>
        </w:rPr>
        <w:t>asjon om aktuelle re</w:t>
      </w:r>
      <w:r w:rsidR="007E45A4">
        <w:rPr>
          <w:lang w:val="nn-NO"/>
        </w:rPr>
        <w:t>inhaldsprodukter og praksis vedrøra</w:t>
      </w:r>
      <w:r w:rsidRPr="004C1D84">
        <w:rPr>
          <w:lang w:val="nn-NO"/>
        </w:rPr>
        <w:t>nde miljøtiltak hos leve</w:t>
      </w:r>
      <w:r w:rsidR="007E45A4">
        <w:rPr>
          <w:lang w:val="nn-NO"/>
        </w:rPr>
        <w:t>randøra</w:t>
      </w:r>
      <w:r w:rsidRPr="004C1D84">
        <w:rPr>
          <w:lang w:val="nn-NO"/>
        </w:rPr>
        <w:t>ne.</w:t>
      </w:r>
    </w:p>
    <w:p w:rsidR="009A6EA3" w:rsidRPr="004C1D84" w:rsidRDefault="009A6EA3" w:rsidP="009A6EA3">
      <w:pPr>
        <w:outlineLvl w:val="2"/>
        <w:rPr>
          <w:b/>
          <w:lang w:val="nn-NO"/>
        </w:rPr>
      </w:pPr>
      <w:bookmarkStart w:id="24" w:name="_Toc2771490"/>
    </w:p>
    <w:p w:rsidR="009A6EA3" w:rsidRPr="004C1D84" w:rsidRDefault="009A6EA3" w:rsidP="009A6EA3">
      <w:pPr>
        <w:outlineLvl w:val="2"/>
        <w:rPr>
          <w:b/>
          <w:lang w:val="nn-NO"/>
        </w:rPr>
      </w:pPr>
      <w:r w:rsidRPr="004C1D84">
        <w:rPr>
          <w:b/>
          <w:lang w:val="nn-NO"/>
        </w:rPr>
        <w:t>Kompetanseheving i LDO</w:t>
      </w:r>
      <w:bookmarkEnd w:id="24"/>
    </w:p>
    <w:p w:rsidR="009A6EA3" w:rsidRDefault="009A6EA3" w:rsidP="009A6EA3">
      <w:pPr>
        <w:rPr>
          <w:lang w:val="nn-NO"/>
        </w:rPr>
      </w:pPr>
      <w:r w:rsidRPr="004C1D84">
        <w:rPr>
          <w:lang w:val="nn-NO"/>
        </w:rPr>
        <w:t>LDO har god kompetanse til å ta hand om våre kjerneoppgåver. LDO er avhengig av kontinuerleg fagleg utvi</w:t>
      </w:r>
      <w:r w:rsidR="00AB4D72">
        <w:rPr>
          <w:lang w:val="nn-NO"/>
        </w:rPr>
        <w:t>kling og oppdatering for å gjenn</w:t>
      </w:r>
      <w:r w:rsidRPr="004C1D84">
        <w:rPr>
          <w:lang w:val="nn-NO"/>
        </w:rPr>
        <w:t>omføre arbeidsoppgåvene som ligg til organisasjonen sitt mandat. Mykje av den faglege utviklinga vil til ei kvar tid ligg</w:t>
      </w:r>
      <w:r w:rsidR="00BC29D3">
        <w:rPr>
          <w:lang w:val="nn-NO"/>
        </w:rPr>
        <w:t>j</w:t>
      </w:r>
      <w:r w:rsidRPr="004C1D84">
        <w:rPr>
          <w:lang w:val="nn-NO"/>
        </w:rPr>
        <w:t>e til ombodet sine hovudoppgåver. Avdelingsleiarane i LDO, i dialog med sine tilsette, er ansvarlege for å sørgje for at dei tilsette til ei kvar tid har rett kompetanse til å ta hand om oppgåvene.</w:t>
      </w:r>
    </w:p>
    <w:p w:rsidR="00030DDC" w:rsidRDefault="00030DDC" w:rsidP="009A6EA3">
      <w:pPr>
        <w:rPr>
          <w:lang w:val="nn-NO"/>
        </w:rPr>
      </w:pPr>
    </w:p>
    <w:p w:rsidR="009A6EA3" w:rsidRPr="003D791E" w:rsidRDefault="009A6EA3" w:rsidP="009A6EA3">
      <w:pPr>
        <w:outlineLvl w:val="1"/>
        <w:rPr>
          <w:rFonts w:eastAsiaTheme="majorEastAsia"/>
          <w:b/>
          <w:lang w:val="nn-NO"/>
        </w:rPr>
      </w:pPr>
      <w:bookmarkStart w:id="25" w:name="_Toc2771491"/>
      <w:bookmarkStart w:id="26" w:name="_Toc34915962"/>
      <w:r w:rsidRPr="003D791E">
        <w:rPr>
          <w:rFonts w:eastAsiaTheme="majorEastAsia"/>
          <w:b/>
          <w:lang w:val="nn-NO"/>
        </w:rPr>
        <w:t xml:space="preserve">Aktivitetsplikta </w:t>
      </w:r>
      <w:r w:rsidR="0059743E">
        <w:rPr>
          <w:rFonts w:eastAsiaTheme="majorEastAsia"/>
          <w:b/>
          <w:lang w:val="nn-NO"/>
        </w:rPr>
        <w:t>for likestilling</w:t>
      </w:r>
      <w:bookmarkEnd w:id="25"/>
      <w:bookmarkEnd w:id="26"/>
    </w:p>
    <w:p w:rsidR="00CA1164" w:rsidRDefault="008334E3" w:rsidP="00CA1164">
      <w:pPr>
        <w:rPr>
          <w:rFonts w:ascii="Open Sans" w:hAnsi="Open Sans"/>
          <w:lang w:val="nn-NO"/>
        </w:rPr>
      </w:pPr>
      <w:r>
        <w:rPr>
          <w:lang w:val="nn-NO"/>
        </w:rPr>
        <w:t xml:space="preserve">LDO sin </w:t>
      </w:r>
      <w:r w:rsidR="00463376" w:rsidRPr="00B83B47">
        <w:rPr>
          <w:lang w:val="nn-NO"/>
        </w:rPr>
        <w:t>overordna personalpolitikk skal bidra til å realisere ombodet</w:t>
      </w:r>
      <w:r>
        <w:rPr>
          <w:lang w:val="nn-NO"/>
        </w:rPr>
        <w:t xml:space="preserve"> sitt</w:t>
      </w:r>
      <w:r w:rsidR="00463376" w:rsidRPr="00B83B47">
        <w:rPr>
          <w:lang w:val="nn-NO"/>
        </w:rPr>
        <w:t xml:space="preserve"> strategiske mål om å </w:t>
      </w:r>
      <w:r w:rsidR="00E57AF3">
        <w:rPr>
          <w:lang w:val="nn-NO"/>
        </w:rPr>
        <w:t>vere</w:t>
      </w:r>
      <w:r w:rsidR="00463376" w:rsidRPr="00B83B47">
        <w:rPr>
          <w:lang w:val="nn-NO"/>
        </w:rPr>
        <w:t xml:space="preserve"> e</w:t>
      </w:r>
      <w:r>
        <w:rPr>
          <w:lang w:val="nn-NO"/>
        </w:rPr>
        <w:t>in synle</w:t>
      </w:r>
      <w:r w:rsidR="00463376" w:rsidRPr="00B83B47">
        <w:rPr>
          <w:lang w:val="nn-NO"/>
        </w:rPr>
        <w:t>g og tillit</w:t>
      </w:r>
      <w:r>
        <w:rPr>
          <w:lang w:val="nn-NO"/>
        </w:rPr>
        <w:t>s</w:t>
      </w:r>
      <w:r w:rsidR="00463376" w:rsidRPr="00B83B47">
        <w:rPr>
          <w:lang w:val="nn-NO"/>
        </w:rPr>
        <w:t xml:space="preserve">vekkende samfunnsaktør. </w:t>
      </w:r>
      <w:r w:rsidR="00BB1014" w:rsidRPr="00B83B47">
        <w:rPr>
          <w:lang w:val="nn-NO"/>
        </w:rPr>
        <w:t xml:space="preserve">Vi </w:t>
      </w:r>
      <w:r>
        <w:rPr>
          <w:lang w:val="nn-NO"/>
        </w:rPr>
        <w:t>vil</w:t>
      </w:r>
      <w:r w:rsidR="00BB1014" w:rsidRPr="00B83B47">
        <w:rPr>
          <w:lang w:val="nn-NO"/>
        </w:rPr>
        <w:t xml:space="preserve"> vere </w:t>
      </w:r>
      <w:r w:rsidR="00463376" w:rsidRPr="00B83B47">
        <w:rPr>
          <w:lang w:val="nn-NO"/>
        </w:rPr>
        <w:t>ei</w:t>
      </w:r>
      <w:r>
        <w:rPr>
          <w:lang w:val="nn-NO"/>
        </w:rPr>
        <w:t>n</w:t>
      </w:r>
      <w:r w:rsidR="00463376" w:rsidRPr="00B83B47">
        <w:rPr>
          <w:lang w:val="nn-NO"/>
        </w:rPr>
        <w:t xml:space="preserve"> god og attraktiv arbeidsplass. </w:t>
      </w:r>
      <w:r w:rsidR="00CA1164" w:rsidRPr="00B83B47">
        <w:rPr>
          <w:lang w:val="nn-NO"/>
        </w:rPr>
        <w:t>Vi har som m</w:t>
      </w:r>
      <w:r w:rsidR="00463376" w:rsidRPr="00B83B47">
        <w:rPr>
          <w:lang w:val="nn-NO"/>
        </w:rPr>
        <w:t>ål å re</w:t>
      </w:r>
      <w:r>
        <w:rPr>
          <w:lang w:val="nn-NO"/>
        </w:rPr>
        <w:t>kruttere kvalifiserte medarbeidarar</w:t>
      </w:r>
      <w:r w:rsidR="00463376" w:rsidRPr="00B83B47">
        <w:rPr>
          <w:lang w:val="nn-NO"/>
        </w:rPr>
        <w:t xml:space="preserve"> som i størst </w:t>
      </w:r>
      <w:r>
        <w:rPr>
          <w:lang w:val="nn-NO"/>
        </w:rPr>
        <w:t>mogleg</w:t>
      </w:r>
      <w:r w:rsidR="00463376" w:rsidRPr="00B83B47">
        <w:rPr>
          <w:lang w:val="nn-NO"/>
        </w:rPr>
        <w:t xml:space="preserve"> grad </w:t>
      </w:r>
      <w:r w:rsidR="0049178A">
        <w:rPr>
          <w:lang w:val="nn-NO"/>
        </w:rPr>
        <w:t>speilar befolkninga elles</w:t>
      </w:r>
      <w:r w:rsidR="00463376" w:rsidRPr="00B83B47">
        <w:rPr>
          <w:lang w:val="nn-NO"/>
        </w:rPr>
        <w:t>.</w:t>
      </w:r>
      <w:r w:rsidR="00BB1014" w:rsidRPr="00B83B47">
        <w:rPr>
          <w:lang w:val="nn-NO"/>
        </w:rPr>
        <w:t xml:space="preserve"> </w:t>
      </w:r>
      <w:r w:rsidR="00CC746A">
        <w:rPr>
          <w:rFonts w:ascii="Open Sans" w:hAnsi="Open Sans"/>
          <w:lang w:val="nn-NO"/>
        </w:rPr>
        <w:t xml:space="preserve">Vi ønskjer tilsette som fremjer </w:t>
      </w:r>
      <w:r w:rsidR="00840885" w:rsidRPr="00840885">
        <w:rPr>
          <w:rFonts w:ascii="Open Sans" w:hAnsi="Open Sans"/>
          <w:lang w:val="nn-NO"/>
        </w:rPr>
        <w:t xml:space="preserve">mangfald og variasjon på alle nivå i verksemda. </w:t>
      </w:r>
    </w:p>
    <w:p w:rsidR="00BB1014" w:rsidRPr="001D0BDE" w:rsidRDefault="00CA1164" w:rsidP="009A6EA3">
      <w:pPr>
        <w:rPr>
          <w:lang w:val="nn-NO"/>
        </w:rPr>
      </w:pPr>
      <w:r w:rsidRPr="004C1D84">
        <w:rPr>
          <w:lang w:val="nn-NO"/>
        </w:rPr>
        <w:t xml:space="preserve">Vi har eit stort fokus på likestilt rekruttering. </w:t>
      </w:r>
      <w:r>
        <w:rPr>
          <w:lang w:val="nn-NO"/>
        </w:rPr>
        <w:t>Denne s</w:t>
      </w:r>
      <w:r w:rsidRPr="004C1D84">
        <w:rPr>
          <w:lang w:val="nn-NO"/>
        </w:rPr>
        <w:t xml:space="preserve">atsinga har to hovudmålsettingar: 1) Sørgje for at LDO si rekruttering er profesjonell, likestilt og ikkje-diskriminerande og 2) Sørgje for at LDO kan gi betre rettleiing om likestilt rekruttering eksternt. </w:t>
      </w:r>
      <w:r w:rsidRPr="001D0BDE">
        <w:rPr>
          <w:lang w:val="nn-NO"/>
        </w:rPr>
        <w:t xml:space="preserve">Vårt mål er at alle skal kunne </w:t>
      </w:r>
      <w:r w:rsidR="002857F9">
        <w:rPr>
          <w:lang w:val="nn-NO"/>
        </w:rPr>
        <w:t>arbeide i heiltids-stillingar</w:t>
      </w:r>
      <w:r w:rsidRPr="001D0BDE">
        <w:rPr>
          <w:lang w:val="nn-NO"/>
        </w:rPr>
        <w:t xml:space="preserve"> og samstun</w:t>
      </w:r>
      <w:r w:rsidR="00207074">
        <w:rPr>
          <w:lang w:val="nn-NO"/>
        </w:rPr>
        <w:t>des ivareta omsorgspliktar</w:t>
      </w:r>
      <w:r w:rsidRPr="001D0BDE">
        <w:rPr>
          <w:lang w:val="nn-NO"/>
        </w:rPr>
        <w:t xml:space="preserve">. </w:t>
      </w:r>
    </w:p>
    <w:p w:rsidR="007B0BDF" w:rsidRPr="001D0BDE" w:rsidRDefault="00463376" w:rsidP="00CA1164">
      <w:pPr>
        <w:rPr>
          <w:lang w:val="nn-NO"/>
        </w:rPr>
      </w:pPr>
      <w:r w:rsidRPr="001D0BDE">
        <w:rPr>
          <w:lang w:val="nn-NO"/>
        </w:rPr>
        <w:lastRenderedPageBreak/>
        <w:t>Lønnspolit</w:t>
      </w:r>
      <w:r w:rsidR="00F321A1">
        <w:rPr>
          <w:lang w:val="nn-NO"/>
        </w:rPr>
        <w:t>ikk</w:t>
      </w:r>
      <w:r w:rsidR="00477933" w:rsidRPr="001D0BDE">
        <w:rPr>
          <w:lang w:val="nn-NO"/>
        </w:rPr>
        <w:t>e</w:t>
      </w:r>
      <w:r w:rsidR="0007073E">
        <w:rPr>
          <w:lang w:val="nn-NO"/>
        </w:rPr>
        <w:t>n sitt</w:t>
      </w:r>
      <w:r w:rsidRPr="001D0BDE">
        <w:rPr>
          <w:lang w:val="nn-NO"/>
        </w:rPr>
        <w:t xml:space="preserve"> </w:t>
      </w:r>
      <w:r w:rsidR="00BB1014" w:rsidRPr="001D0BDE">
        <w:rPr>
          <w:lang w:val="nn-NO"/>
        </w:rPr>
        <w:t xml:space="preserve">overordna </w:t>
      </w:r>
      <w:r w:rsidRPr="001D0BDE">
        <w:rPr>
          <w:lang w:val="nn-NO"/>
        </w:rPr>
        <w:t>mål er e</w:t>
      </w:r>
      <w:r w:rsidR="00F321A1">
        <w:rPr>
          <w:lang w:val="nn-NO"/>
        </w:rPr>
        <w:t>i</w:t>
      </w:r>
      <w:r w:rsidRPr="001D0BDE">
        <w:rPr>
          <w:lang w:val="nn-NO"/>
        </w:rPr>
        <w:t xml:space="preserve"> mest </w:t>
      </w:r>
      <w:r w:rsidR="00F321A1">
        <w:rPr>
          <w:lang w:val="nn-NO"/>
        </w:rPr>
        <w:t>mogleg</w:t>
      </w:r>
      <w:r w:rsidR="0007073E">
        <w:rPr>
          <w:lang w:val="nn-NO"/>
        </w:rPr>
        <w:t xml:space="preserve"> riktig og einsarta</w:t>
      </w:r>
      <w:r w:rsidRPr="001D0BDE">
        <w:rPr>
          <w:lang w:val="nn-NO"/>
        </w:rPr>
        <w:t xml:space="preserve"> </w:t>
      </w:r>
      <w:r w:rsidR="0007073E">
        <w:rPr>
          <w:lang w:val="nn-NO"/>
        </w:rPr>
        <w:t xml:space="preserve">fastsetjing av lønn. </w:t>
      </w:r>
      <w:r w:rsidRPr="001D0BDE">
        <w:rPr>
          <w:lang w:val="nn-NO"/>
        </w:rPr>
        <w:t xml:space="preserve"> </w:t>
      </w:r>
      <w:r w:rsidR="007B0BDF" w:rsidRPr="001D0BDE">
        <w:rPr>
          <w:lang w:val="nn-NO"/>
        </w:rPr>
        <w:t xml:space="preserve">Vi er særleg merksam på tilsette som </w:t>
      </w:r>
      <w:r w:rsidR="008C7E20" w:rsidRPr="001D0BDE">
        <w:rPr>
          <w:lang w:val="nn-NO"/>
        </w:rPr>
        <w:t xml:space="preserve">er eller </w:t>
      </w:r>
      <w:r w:rsidR="007B0BDF" w:rsidRPr="001D0BDE">
        <w:rPr>
          <w:lang w:val="nn-NO"/>
        </w:rPr>
        <w:t xml:space="preserve">har </w:t>
      </w:r>
      <w:r w:rsidR="009C28DC" w:rsidRPr="001D0BDE">
        <w:rPr>
          <w:lang w:val="nn-NO"/>
        </w:rPr>
        <w:t>vore</w:t>
      </w:r>
      <w:r w:rsidR="007B0BDF" w:rsidRPr="001D0BDE">
        <w:rPr>
          <w:lang w:val="nn-NO"/>
        </w:rPr>
        <w:t xml:space="preserve"> i foreldrepermisjon så dei ikkje </w:t>
      </w:r>
      <w:r w:rsidR="008C7E20" w:rsidRPr="001D0BDE">
        <w:rPr>
          <w:lang w:val="nn-NO"/>
        </w:rPr>
        <w:t xml:space="preserve">blir liggande etter </w:t>
      </w:r>
      <w:r w:rsidR="007B0BDF" w:rsidRPr="001D0BDE">
        <w:rPr>
          <w:lang w:val="nn-NO"/>
        </w:rPr>
        <w:t xml:space="preserve">lønnsmessig. </w:t>
      </w:r>
    </w:p>
    <w:p w:rsidR="00CA1164" w:rsidRDefault="00CA1164" w:rsidP="00CA1164">
      <w:pPr>
        <w:rPr>
          <w:lang w:val="nn-NO"/>
        </w:rPr>
      </w:pPr>
      <w:r w:rsidRPr="00B83B47">
        <w:rPr>
          <w:lang w:val="nn-NO"/>
        </w:rPr>
        <w:t>U</w:t>
      </w:r>
      <w:r w:rsidR="00463376" w:rsidRPr="00B83B47">
        <w:rPr>
          <w:lang w:val="nn-NO"/>
        </w:rPr>
        <w:t>avhengig av</w:t>
      </w:r>
      <w:r w:rsidR="00454769">
        <w:rPr>
          <w:lang w:val="nn-NO"/>
        </w:rPr>
        <w:t xml:space="preserve"> kva slags fase dei er i livet, </w:t>
      </w:r>
      <w:r w:rsidR="00463376" w:rsidRPr="00B83B47">
        <w:rPr>
          <w:lang w:val="nn-NO"/>
        </w:rPr>
        <w:t>skal de</w:t>
      </w:r>
      <w:r w:rsidRPr="00B83B47">
        <w:rPr>
          <w:lang w:val="nn-NO"/>
        </w:rPr>
        <w:t>i</w:t>
      </w:r>
      <w:r w:rsidR="00463376" w:rsidRPr="00B83B47">
        <w:rPr>
          <w:lang w:val="nn-NO"/>
        </w:rPr>
        <w:t xml:space="preserve"> </w:t>
      </w:r>
      <w:r w:rsidRPr="00B83B47">
        <w:rPr>
          <w:lang w:val="nn-NO"/>
        </w:rPr>
        <w:t>tilsette</w:t>
      </w:r>
      <w:r w:rsidR="00463376" w:rsidRPr="00B83B47">
        <w:rPr>
          <w:lang w:val="nn-NO"/>
        </w:rPr>
        <w:t xml:space="preserve"> ha e</w:t>
      </w:r>
      <w:r w:rsidR="00454769">
        <w:rPr>
          <w:lang w:val="nn-NO"/>
        </w:rPr>
        <w:t>i</w:t>
      </w:r>
      <w:r w:rsidR="00463376" w:rsidRPr="00B83B47">
        <w:rPr>
          <w:lang w:val="nn-NO"/>
        </w:rPr>
        <w:t>n god arbeidssituasjon og utvikling</w:t>
      </w:r>
      <w:r w:rsidR="00454769">
        <w:rPr>
          <w:lang w:val="nn-NO"/>
        </w:rPr>
        <w:t>.</w:t>
      </w:r>
      <w:r w:rsidR="00463376" w:rsidRPr="00B83B47">
        <w:rPr>
          <w:lang w:val="nn-NO"/>
        </w:rPr>
        <w:t xml:space="preserve"> </w:t>
      </w:r>
      <w:r w:rsidRPr="00B83B47">
        <w:rPr>
          <w:lang w:val="nn-NO"/>
        </w:rPr>
        <w:t xml:space="preserve">Alle </w:t>
      </w:r>
      <w:r w:rsidR="009E24B1">
        <w:rPr>
          <w:lang w:val="nn-NO"/>
        </w:rPr>
        <w:t xml:space="preserve">stillingar som LDO lyser ut, </w:t>
      </w:r>
      <w:r w:rsidR="00454769">
        <w:rPr>
          <w:lang w:val="nn-NO"/>
        </w:rPr>
        <w:t>inneheld ei erklæring om at vi ønskjer eit mangfald av tilsette. I</w:t>
      </w:r>
      <w:r>
        <w:rPr>
          <w:lang w:val="nn-NO"/>
        </w:rPr>
        <w:t xml:space="preserve"> 2019 har vi også </w:t>
      </w:r>
      <w:r w:rsidR="00B27CAA">
        <w:rPr>
          <w:lang w:val="nn-NO"/>
        </w:rPr>
        <w:t xml:space="preserve">i nokre stillingsutlysningar der det har vore riktig, </w:t>
      </w:r>
      <w:r>
        <w:rPr>
          <w:lang w:val="nn-NO"/>
        </w:rPr>
        <w:t>oppfordra menn særskilt til å søk</w:t>
      </w:r>
      <w:r w:rsidR="009E24B1">
        <w:rPr>
          <w:lang w:val="nn-NO"/>
        </w:rPr>
        <w:t>j</w:t>
      </w:r>
      <w:r w:rsidR="00B27CAA">
        <w:rPr>
          <w:lang w:val="nn-NO"/>
        </w:rPr>
        <w:t>e.</w:t>
      </w:r>
      <w:r w:rsidR="00454769">
        <w:rPr>
          <w:lang w:val="nn-NO"/>
        </w:rPr>
        <w:t xml:space="preserve"> </w:t>
      </w:r>
      <w:r>
        <w:rPr>
          <w:lang w:val="nn-NO"/>
        </w:rPr>
        <w:t xml:space="preserve"> </w:t>
      </w:r>
    </w:p>
    <w:p w:rsidR="00CA1164" w:rsidRDefault="00D949A8" w:rsidP="00CA1164">
      <w:pPr>
        <w:rPr>
          <w:lang w:val="nn-NO"/>
        </w:rPr>
      </w:pPr>
      <w:r>
        <w:rPr>
          <w:lang w:val="nn-NO"/>
        </w:rPr>
        <w:t xml:space="preserve">Vi støttar regjeringas ønskje og mål når det gjeld å inkludere alle kvalifiserte arbeidssøkjarar uavhengig av funksjonsevne og om nokon har hol i CVen. </w:t>
      </w:r>
      <w:r w:rsidR="00CA1164" w:rsidRPr="00AB660F">
        <w:rPr>
          <w:lang w:val="nn-NO"/>
        </w:rPr>
        <w:t>LDO</w:t>
      </w:r>
      <w:r>
        <w:rPr>
          <w:lang w:val="nn-NO"/>
        </w:rPr>
        <w:t xml:space="preserve"> har i 2019 oppfylt målet satt av regjeringa om at m</w:t>
      </w:r>
      <w:r w:rsidR="00CA1164" w:rsidRPr="00AB660F">
        <w:rPr>
          <w:lang w:val="nn-NO"/>
        </w:rPr>
        <w:t xml:space="preserve">inimum fem prosent av </w:t>
      </w:r>
      <w:r>
        <w:rPr>
          <w:lang w:val="nn-NO"/>
        </w:rPr>
        <w:t>nytilsette</w:t>
      </w:r>
      <w:r w:rsidR="00CA1164" w:rsidRPr="00AB660F">
        <w:rPr>
          <w:lang w:val="nn-NO"/>
        </w:rPr>
        <w:t xml:space="preserve"> i staten skal </w:t>
      </w:r>
      <w:r w:rsidR="00E57AF3">
        <w:rPr>
          <w:lang w:val="nn-NO"/>
        </w:rPr>
        <w:t>vere</w:t>
      </w:r>
      <w:r>
        <w:rPr>
          <w:lang w:val="nn-NO"/>
        </w:rPr>
        <w:t xml:space="preserve"> persona</w:t>
      </w:r>
      <w:r w:rsidR="00CA1164" w:rsidRPr="00AB660F">
        <w:rPr>
          <w:lang w:val="nn-NO"/>
        </w:rPr>
        <w:t>r med nedsett funksjonsevne eller hol i CVen.</w:t>
      </w:r>
      <w:r w:rsidR="00CA1164">
        <w:rPr>
          <w:lang w:val="nn-NO"/>
        </w:rPr>
        <w:t xml:space="preserve"> </w:t>
      </w:r>
      <w:r w:rsidR="00CA1164" w:rsidRPr="004C1D84">
        <w:rPr>
          <w:lang w:val="nn-NO"/>
        </w:rPr>
        <w:t xml:space="preserve"> </w:t>
      </w:r>
    </w:p>
    <w:p w:rsidR="0045222C" w:rsidRDefault="00F54DE3" w:rsidP="009A6EA3">
      <w:pPr>
        <w:rPr>
          <w:lang w:val="nn-NO"/>
        </w:rPr>
      </w:pPr>
      <w:r>
        <w:rPr>
          <w:lang w:val="nn-NO"/>
        </w:rPr>
        <w:t>Ombodet har så lenge det</w:t>
      </w:r>
      <w:r w:rsidR="009A6EA3" w:rsidRPr="004C1D84">
        <w:rPr>
          <w:lang w:val="nn-NO"/>
        </w:rPr>
        <w:t xml:space="preserve"> har eksistert hatt eit fleirtal av kvinnelege arbeidstakar</w:t>
      </w:r>
      <w:r>
        <w:rPr>
          <w:lang w:val="nn-NO"/>
        </w:rPr>
        <w:t>ar. Pr. 31. desember 2019 var det</w:t>
      </w:r>
      <w:r w:rsidR="009A6EA3" w:rsidRPr="004C1D84">
        <w:rPr>
          <w:lang w:val="nn-NO"/>
        </w:rPr>
        <w:t xml:space="preserve"> 2</w:t>
      </w:r>
      <w:r w:rsidR="009A6EA3">
        <w:rPr>
          <w:lang w:val="nn-NO"/>
        </w:rPr>
        <w:t>6</w:t>
      </w:r>
      <w:r w:rsidR="009A6EA3" w:rsidRPr="004C1D84">
        <w:rPr>
          <w:lang w:val="nn-NO"/>
        </w:rPr>
        <w:t xml:space="preserve"> prosent menn og 7</w:t>
      </w:r>
      <w:r w:rsidR="009A6EA3">
        <w:rPr>
          <w:lang w:val="nn-NO"/>
        </w:rPr>
        <w:t>4</w:t>
      </w:r>
      <w:r w:rsidR="009A6EA3" w:rsidRPr="004C1D84">
        <w:rPr>
          <w:lang w:val="nn-NO"/>
        </w:rPr>
        <w:t xml:space="preserve"> prosent kvinner. I leiinga er det fire kvinner. </w:t>
      </w:r>
      <w:r w:rsidR="0045222C">
        <w:rPr>
          <w:lang w:val="nn-NO"/>
        </w:rPr>
        <w:t xml:space="preserve"> </w:t>
      </w:r>
      <w:r w:rsidR="009A6EA3" w:rsidRPr="004C1D84">
        <w:rPr>
          <w:color w:val="000000"/>
          <w:lang w:val="nn-NO"/>
        </w:rPr>
        <w:t xml:space="preserve">Det var totalt 474 søkjarar til våre utlyste stillingar i 2019. Av desse var 21 prosent menn og 79 prosent  </w:t>
      </w:r>
      <w:r w:rsidR="009A6EA3" w:rsidRPr="004C1D84">
        <w:rPr>
          <w:lang w:val="nn-NO"/>
        </w:rPr>
        <w:t xml:space="preserve">kvinner. </w:t>
      </w:r>
      <w:r w:rsidR="00AE40FF" w:rsidRPr="004C1D84">
        <w:rPr>
          <w:lang w:val="nn-NO" w:eastAsia="en-US"/>
        </w:rPr>
        <w:t>A</w:t>
      </w:r>
      <w:r w:rsidR="003F6F70">
        <w:rPr>
          <w:lang w:val="nn-NO"/>
        </w:rPr>
        <w:t>v dei som vart</w:t>
      </w:r>
      <w:r w:rsidR="00AE40FF" w:rsidRPr="004C1D84">
        <w:rPr>
          <w:lang w:val="nn-NO"/>
        </w:rPr>
        <w:t xml:space="preserve"> rekrutterte i 2019 var fire menn og åtte kvinner. </w:t>
      </w:r>
    </w:p>
    <w:p w:rsidR="009A6EA3" w:rsidRDefault="00A7557E" w:rsidP="009A6EA3">
      <w:pPr>
        <w:rPr>
          <w:lang w:val="nn-NO"/>
        </w:rPr>
      </w:pPr>
      <w:r>
        <w:rPr>
          <w:lang w:val="nn-NO" w:eastAsia="en-US"/>
        </w:rPr>
        <w:t xml:space="preserve">Vi er </w:t>
      </w:r>
      <w:r w:rsidR="009A6EA3" w:rsidRPr="004C1D84">
        <w:rPr>
          <w:lang w:val="nn-NO" w:eastAsia="en-US"/>
        </w:rPr>
        <w:t>me</w:t>
      </w:r>
      <w:r w:rsidR="00AE40FF">
        <w:rPr>
          <w:lang w:val="nn-NO" w:eastAsia="en-US"/>
        </w:rPr>
        <w:t>rksame på kandidatar som oppgjev</w:t>
      </w:r>
      <w:r w:rsidR="009A6EA3" w:rsidRPr="004C1D84">
        <w:rPr>
          <w:lang w:val="nn-NO" w:eastAsia="en-US"/>
        </w:rPr>
        <w:t xml:space="preserve"> n</w:t>
      </w:r>
      <w:r w:rsidR="00AE40FF">
        <w:rPr>
          <w:lang w:val="nn-NO" w:eastAsia="en-US"/>
        </w:rPr>
        <w:t>edsett funksjonsevne i søknaden. Vi le</w:t>
      </w:r>
      <w:r w:rsidR="009A6EA3" w:rsidRPr="004C1D84">
        <w:rPr>
          <w:lang w:val="nn-NO" w:eastAsia="en-US"/>
        </w:rPr>
        <w:t xml:space="preserve">s óg søknadane nøye med dette for auge. Ingen av kandidatane til stillingane har aktivt opplyst om nedsett funksjonsevne og/eller minoritetsbakgrunn, slik søkjarverktøyet gjev opning for. </w:t>
      </w:r>
      <w:r w:rsidR="009F3F70">
        <w:rPr>
          <w:lang w:val="nn-NO"/>
        </w:rPr>
        <w:t xml:space="preserve">Vi legg vekt på eit arbeidsmiljø der alle skal kunne </w:t>
      </w:r>
      <w:r w:rsidR="00E57AF3">
        <w:rPr>
          <w:lang w:val="nn-NO"/>
        </w:rPr>
        <w:t>vere</w:t>
      </w:r>
      <w:r w:rsidR="009F3F70">
        <w:rPr>
          <w:lang w:val="nn-NO"/>
        </w:rPr>
        <w:t xml:space="preserve"> seg sjølv</w:t>
      </w:r>
      <w:r w:rsidR="0093552C">
        <w:rPr>
          <w:lang w:val="nn-NO"/>
        </w:rPr>
        <w:t>e</w:t>
      </w:r>
      <w:r w:rsidR="009F3F70">
        <w:rPr>
          <w:lang w:val="nn-NO"/>
        </w:rPr>
        <w:t>. Vi har nulltolerans</w:t>
      </w:r>
      <w:r w:rsidR="00A237A1">
        <w:rPr>
          <w:lang w:val="nn-NO"/>
        </w:rPr>
        <w:t>e for trakassering og kartlegg</w:t>
      </w:r>
      <w:r w:rsidR="009F3F70">
        <w:rPr>
          <w:lang w:val="nn-NO"/>
        </w:rPr>
        <w:t xml:space="preserve"> eit ev</w:t>
      </w:r>
      <w:r w:rsidR="00F8348E">
        <w:rPr>
          <w:lang w:val="nn-NO"/>
        </w:rPr>
        <w:t>entuelt omfang gjennom medarbeidarundersøkingar</w:t>
      </w:r>
      <w:r w:rsidR="009F3F70">
        <w:rPr>
          <w:lang w:val="nn-NO"/>
        </w:rPr>
        <w:t>. Til alle våre sosiale arrange</w:t>
      </w:r>
      <w:r w:rsidR="00290B7A">
        <w:rPr>
          <w:lang w:val="nn-NO"/>
        </w:rPr>
        <w:t>ment</w:t>
      </w:r>
      <w:r w:rsidR="009F3F70">
        <w:rPr>
          <w:lang w:val="nn-NO"/>
        </w:rPr>
        <w:t xml:space="preserve"> er vi nøye på å invitere også dei av våre tilsette som er i foreldrepermisjon. </w:t>
      </w:r>
    </w:p>
    <w:p w:rsidR="009A6EA3" w:rsidRPr="004C1D84" w:rsidRDefault="009A6EA3" w:rsidP="009A6EA3">
      <w:pPr>
        <w:outlineLvl w:val="2"/>
        <w:rPr>
          <w:rFonts w:eastAsiaTheme="majorEastAsia"/>
          <w:b/>
          <w:lang w:val="nn-NO"/>
        </w:rPr>
      </w:pPr>
      <w:bookmarkStart w:id="27" w:name="_Toc2771492"/>
      <w:r w:rsidRPr="0013333D">
        <w:rPr>
          <w:rFonts w:eastAsiaTheme="majorEastAsia"/>
          <w:b/>
          <w:lang w:val="nn-NO"/>
        </w:rPr>
        <w:br/>
      </w:r>
      <w:r w:rsidRPr="004C1D84">
        <w:rPr>
          <w:rFonts w:eastAsiaTheme="majorEastAsia"/>
          <w:b/>
          <w:lang w:val="nn-NO"/>
        </w:rPr>
        <w:t>Inkluderande arbeidsliv</w:t>
      </w:r>
      <w:bookmarkEnd w:id="27"/>
      <w:r w:rsidRPr="004C1D84">
        <w:rPr>
          <w:rFonts w:eastAsiaTheme="majorEastAsia"/>
          <w:b/>
          <w:lang w:val="nn-NO"/>
        </w:rPr>
        <w:t>sverksemd</w:t>
      </w:r>
    </w:p>
    <w:p w:rsidR="009A6EA3" w:rsidRPr="004C1D84" w:rsidRDefault="009A6EA3" w:rsidP="009A6EA3">
      <w:pPr>
        <w:autoSpaceDE w:val="0"/>
        <w:autoSpaceDN w:val="0"/>
        <w:spacing w:before="0" w:after="0"/>
        <w:rPr>
          <w:color w:val="000000"/>
          <w:lang w:val="nn-NO"/>
        </w:rPr>
      </w:pPr>
      <w:r w:rsidRPr="004C1D84">
        <w:rPr>
          <w:rFonts w:ascii="Open Sans" w:hAnsi="Open Sans"/>
          <w:lang w:val="nn-NO"/>
        </w:rPr>
        <w:t>Ombodet er ei inkluderande arbeidslivsverksemd.</w:t>
      </w:r>
      <w:r w:rsidRPr="004C1D84">
        <w:rPr>
          <w:lang w:val="nn-NO"/>
        </w:rPr>
        <w:t xml:space="preserve"> </w:t>
      </w:r>
    </w:p>
    <w:p w:rsidR="009A6EA3" w:rsidRPr="004C1D84" w:rsidRDefault="009A6EA3" w:rsidP="009A6EA3">
      <w:pPr>
        <w:autoSpaceDE w:val="0"/>
        <w:autoSpaceDN w:val="0"/>
        <w:spacing w:before="0" w:after="0"/>
        <w:rPr>
          <w:rFonts w:ascii="Calibri" w:hAnsi="Calibri" w:cs="Calibri"/>
          <w:color w:val="1F497D"/>
          <w:sz w:val="22"/>
          <w:szCs w:val="22"/>
          <w:lang w:val="nn-NO" w:eastAsia="en-US"/>
        </w:rPr>
      </w:pPr>
    </w:p>
    <w:p w:rsidR="009A6EA3" w:rsidRPr="004C1D84" w:rsidRDefault="009A6EA3" w:rsidP="009A6EA3">
      <w:pPr>
        <w:autoSpaceDE w:val="0"/>
        <w:autoSpaceDN w:val="0"/>
        <w:spacing w:before="0" w:after="0"/>
        <w:rPr>
          <w:lang w:val="nn-NO" w:eastAsia="en-US"/>
        </w:rPr>
      </w:pPr>
      <w:r w:rsidRPr="004C1D84">
        <w:rPr>
          <w:lang w:val="nn-NO" w:eastAsia="en-US"/>
        </w:rPr>
        <w:t>I stillingsutlysningane våre blir søk</w:t>
      </w:r>
      <w:r w:rsidR="00595F2A">
        <w:rPr>
          <w:lang w:val="nn-NO" w:eastAsia="en-US"/>
        </w:rPr>
        <w:t>j</w:t>
      </w:r>
      <w:r w:rsidRPr="004C1D84">
        <w:rPr>
          <w:lang w:val="nn-NO" w:eastAsia="en-US"/>
        </w:rPr>
        <w:t>arar opplyst</w:t>
      </w:r>
      <w:r w:rsidR="00595F2A">
        <w:rPr>
          <w:lang w:val="nn-NO" w:eastAsia="en-US"/>
        </w:rPr>
        <w:t>e</w:t>
      </w:r>
      <w:r w:rsidRPr="004C1D84">
        <w:rPr>
          <w:lang w:val="nn-NO" w:eastAsia="en-US"/>
        </w:rPr>
        <w:t xml:space="preserve"> om at dei kan ta kontakt med HR-medarbeidaren i ombodet ved spørsmål om arbeidsmiljøet, fysisk utforming av lokala, høve til t</w:t>
      </w:r>
      <w:r w:rsidR="00C43396">
        <w:rPr>
          <w:lang w:val="nn-NO" w:eastAsia="en-US"/>
        </w:rPr>
        <w:t>ilretteleggjing og andre tilhøve</w:t>
      </w:r>
      <w:r w:rsidRPr="004C1D84">
        <w:rPr>
          <w:lang w:val="nn-NO" w:eastAsia="en-US"/>
        </w:rPr>
        <w:t xml:space="preserve"> som er knytt til arbeidet og arbeidstida. Vi ønskjer å vise aktuelle søk</w:t>
      </w:r>
      <w:r w:rsidR="00E65C01">
        <w:rPr>
          <w:lang w:val="nn-NO" w:eastAsia="en-US"/>
        </w:rPr>
        <w:t>j</w:t>
      </w:r>
      <w:r w:rsidRPr="004C1D84">
        <w:rPr>
          <w:lang w:val="nn-NO" w:eastAsia="en-US"/>
        </w:rPr>
        <w:t>arar at vi er førebudd og kan ta imot alle kvalifiserte søk</w:t>
      </w:r>
      <w:r w:rsidR="00E65C01">
        <w:rPr>
          <w:lang w:val="nn-NO" w:eastAsia="en-US"/>
        </w:rPr>
        <w:t>j</w:t>
      </w:r>
      <w:r w:rsidRPr="004C1D84">
        <w:rPr>
          <w:lang w:val="nn-NO" w:eastAsia="en-US"/>
        </w:rPr>
        <w:t xml:space="preserve">arar med arbeidsevne, og at ein ikkje skal vegre seg for å stille spørsmål. Alle får også tilbod om ein tilretteleggjingssamtale ved oppstart i ny stilling, og alle behov for tilretteleggjing bli raskt tatt hand om også undervegs i arbeidsforholdet. </w:t>
      </w:r>
    </w:p>
    <w:p w:rsidR="0059743E" w:rsidRDefault="0059743E" w:rsidP="009A6EA3">
      <w:pPr>
        <w:autoSpaceDE w:val="0"/>
        <w:autoSpaceDN w:val="0"/>
        <w:spacing w:before="0" w:after="0"/>
        <w:rPr>
          <w:u w:val="single"/>
          <w:lang w:val="nn-NO"/>
        </w:rPr>
      </w:pPr>
    </w:p>
    <w:p w:rsidR="00616D07" w:rsidRPr="00AE02D3" w:rsidRDefault="0059743E" w:rsidP="009A6EA3">
      <w:pPr>
        <w:autoSpaceDE w:val="0"/>
        <w:autoSpaceDN w:val="0"/>
        <w:spacing w:before="0" w:after="0"/>
        <w:rPr>
          <w:lang w:val="nn-NO"/>
        </w:rPr>
      </w:pPr>
      <w:r w:rsidRPr="00AE02D3">
        <w:rPr>
          <w:lang w:val="nn-NO"/>
        </w:rPr>
        <w:t>Vi har rutiner for tilrettelegg</w:t>
      </w:r>
      <w:r w:rsidR="00475C48" w:rsidRPr="00AE02D3">
        <w:rPr>
          <w:lang w:val="nn-NO"/>
        </w:rPr>
        <w:t>j</w:t>
      </w:r>
      <w:r w:rsidRPr="00AE02D3">
        <w:rPr>
          <w:lang w:val="nn-NO"/>
        </w:rPr>
        <w:t xml:space="preserve">ing </w:t>
      </w:r>
      <w:r w:rsidR="00616D07" w:rsidRPr="00AE02D3">
        <w:rPr>
          <w:lang w:val="nn-NO"/>
        </w:rPr>
        <w:t xml:space="preserve">blant </w:t>
      </w:r>
      <w:r w:rsidR="00E57AF3" w:rsidRPr="00AE02D3">
        <w:rPr>
          <w:lang w:val="nn-NO"/>
        </w:rPr>
        <w:t>anna</w:t>
      </w:r>
      <w:r w:rsidR="00616D07" w:rsidRPr="00AE02D3">
        <w:rPr>
          <w:lang w:val="nn-NO"/>
        </w:rPr>
        <w:t xml:space="preserve"> </w:t>
      </w:r>
      <w:r w:rsidRPr="00AE02D3">
        <w:rPr>
          <w:lang w:val="nn-NO"/>
        </w:rPr>
        <w:t xml:space="preserve">i </w:t>
      </w:r>
      <w:r w:rsidR="00475C48" w:rsidRPr="00AE02D3">
        <w:rPr>
          <w:lang w:val="nn-NO"/>
        </w:rPr>
        <w:t>samband</w:t>
      </w:r>
      <w:r w:rsidRPr="00AE02D3">
        <w:rPr>
          <w:lang w:val="nn-NO"/>
        </w:rPr>
        <w:t xml:space="preserve"> med nedsatt funks</w:t>
      </w:r>
      <w:r w:rsidR="00616D07" w:rsidRPr="00AE02D3">
        <w:rPr>
          <w:lang w:val="nn-NO"/>
        </w:rPr>
        <w:t>j</w:t>
      </w:r>
      <w:r w:rsidRPr="00AE02D3">
        <w:rPr>
          <w:lang w:val="nn-NO"/>
        </w:rPr>
        <w:t>onsevne</w:t>
      </w:r>
      <w:r w:rsidR="00370CDA" w:rsidRPr="00AE02D3">
        <w:rPr>
          <w:lang w:val="nn-NO"/>
        </w:rPr>
        <w:t>, omsorgs</w:t>
      </w:r>
      <w:r w:rsidR="00475C48" w:rsidRPr="00AE02D3">
        <w:rPr>
          <w:lang w:val="nn-NO"/>
        </w:rPr>
        <w:t>pliktar, graviditet, seniora</w:t>
      </w:r>
      <w:r w:rsidR="00370CDA" w:rsidRPr="00AE02D3">
        <w:rPr>
          <w:lang w:val="nn-NO"/>
        </w:rPr>
        <w:t>r</w:t>
      </w:r>
      <w:r w:rsidR="00616D07" w:rsidRPr="00AE02D3">
        <w:rPr>
          <w:lang w:val="nn-NO"/>
        </w:rPr>
        <w:t xml:space="preserve"> og</w:t>
      </w:r>
      <w:r w:rsidR="00370CDA" w:rsidRPr="00AE02D3">
        <w:rPr>
          <w:lang w:val="nn-NO"/>
        </w:rPr>
        <w:t xml:space="preserve"> religion. </w:t>
      </w:r>
      <w:r w:rsidR="00475C48" w:rsidRPr="00AE02D3">
        <w:rPr>
          <w:lang w:val="nn-NO"/>
        </w:rPr>
        <w:t>Vi nyttar moglegheit for heimekontor</w:t>
      </w:r>
      <w:r w:rsidRPr="00AE02D3">
        <w:rPr>
          <w:lang w:val="nn-NO"/>
        </w:rPr>
        <w:t xml:space="preserve"> </w:t>
      </w:r>
      <w:r w:rsidR="00616D07" w:rsidRPr="00AE02D3">
        <w:rPr>
          <w:lang w:val="nn-NO"/>
        </w:rPr>
        <w:t>som tilrettelegg</w:t>
      </w:r>
      <w:r w:rsidR="00475C48" w:rsidRPr="00AE02D3">
        <w:rPr>
          <w:lang w:val="nn-NO"/>
        </w:rPr>
        <w:t>j</w:t>
      </w:r>
      <w:r w:rsidR="00616D07" w:rsidRPr="00AE02D3">
        <w:rPr>
          <w:lang w:val="nn-NO"/>
        </w:rPr>
        <w:t xml:space="preserve">ing, vi har </w:t>
      </w:r>
      <w:r w:rsidR="00475C48" w:rsidRPr="00AE02D3">
        <w:rPr>
          <w:lang w:val="nn-NO"/>
        </w:rPr>
        <w:t>fleksibel arbeidstid</w:t>
      </w:r>
      <w:r w:rsidR="00616D07" w:rsidRPr="00AE02D3">
        <w:rPr>
          <w:lang w:val="nn-NO"/>
        </w:rPr>
        <w:t xml:space="preserve"> for alle</w:t>
      </w:r>
      <w:r w:rsidR="00663D04" w:rsidRPr="00AE02D3">
        <w:rPr>
          <w:lang w:val="nn-NO"/>
        </w:rPr>
        <w:t>,</w:t>
      </w:r>
      <w:r w:rsidR="00616D07" w:rsidRPr="00AE02D3">
        <w:rPr>
          <w:lang w:val="nn-NO"/>
        </w:rPr>
        <w:t xml:space="preserve"> og vi </w:t>
      </w:r>
      <w:r w:rsidR="00475C48" w:rsidRPr="00AE02D3">
        <w:rPr>
          <w:lang w:val="nn-NO"/>
        </w:rPr>
        <w:t>kjenner til og nyttar</w:t>
      </w:r>
      <w:r w:rsidR="00780CD6" w:rsidRPr="00AE02D3">
        <w:rPr>
          <w:lang w:val="nn-NO"/>
        </w:rPr>
        <w:t xml:space="preserve"> NAV sine verkemiddel ved </w:t>
      </w:r>
      <w:r w:rsidR="00475C48" w:rsidRPr="00AE02D3">
        <w:rPr>
          <w:lang w:val="nn-NO"/>
        </w:rPr>
        <w:t xml:space="preserve">behov. </w:t>
      </w:r>
      <w:r w:rsidR="00616D07" w:rsidRPr="00AE02D3">
        <w:rPr>
          <w:lang w:val="nn-NO"/>
        </w:rPr>
        <w:t xml:space="preserve"> </w:t>
      </w:r>
    </w:p>
    <w:p w:rsidR="00F615C6" w:rsidRPr="00AE02D3" w:rsidRDefault="00F615C6" w:rsidP="009A6EA3">
      <w:pPr>
        <w:autoSpaceDE w:val="0"/>
        <w:autoSpaceDN w:val="0"/>
        <w:spacing w:before="0" w:after="0"/>
        <w:rPr>
          <w:lang w:val="nn-NO"/>
        </w:rPr>
      </w:pPr>
    </w:p>
    <w:p w:rsidR="00F615C6" w:rsidRPr="00AE02D3" w:rsidRDefault="00F615C6" w:rsidP="00F615C6">
      <w:pPr>
        <w:autoSpaceDE w:val="0"/>
        <w:autoSpaceDN w:val="0"/>
        <w:spacing w:before="0" w:after="0"/>
        <w:rPr>
          <w:lang w:val="nn-NO"/>
        </w:rPr>
      </w:pPr>
      <w:r w:rsidRPr="004C1D84">
        <w:rPr>
          <w:lang w:val="nn-NO"/>
        </w:rPr>
        <w:t xml:space="preserve">LDO har bygd vidare på det systematiske opplegget vårt for gjennomføring av medarbeidarsamtalar og </w:t>
      </w:r>
      <w:r>
        <w:rPr>
          <w:lang w:val="nn-NO"/>
        </w:rPr>
        <w:t>samtalar om lønn</w:t>
      </w:r>
      <w:r w:rsidRPr="004C1D84">
        <w:rPr>
          <w:lang w:val="nn-NO"/>
        </w:rPr>
        <w:t>.</w:t>
      </w:r>
    </w:p>
    <w:p w:rsidR="0059743E" w:rsidRPr="00AE02D3" w:rsidRDefault="0059743E" w:rsidP="009A6EA3">
      <w:pPr>
        <w:autoSpaceDE w:val="0"/>
        <w:autoSpaceDN w:val="0"/>
        <w:spacing w:before="0" w:after="0"/>
        <w:rPr>
          <w:lang w:val="nn-NO"/>
        </w:rPr>
      </w:pPr>
    </w:p>
    <w:p w:rsidR="00747798" w:rsidRDefault="00747798" w:rsidP="007A0528">
      <w:pPr>
        <w:rPr>
          <w:b/>
          <w:u w:val="single"/>
          <w:lang w:val="nn-NO"/>
        </w:rPr>
      </w:pPr>
    </w:p>
    <w:p w:rsidR="00C81C64" w:rsidRDefault="00C81C64" w:rsidP="007A0528">
      <w:pPr>
        <w:rPr>
          <w:b/>
          <w:u w:val="single"/>
          <w:lang w:val="nn-NO"/>
        </w:rPr>
      </w:pPr>
    </w:p>
    <w:p w:rsidR="00C81C64" w:rsidRPr="00AE02D3" w:rsidRDefault="00C81C64" w:rsidP="007A0528">
      <w:pPr>
        <w:rPr>
          <w:b/>
          <w:u w:val="single"/>
          <w:lang w:val="nn-NO"/>
        </w:rPr>
      </w:pPr>
    </w:p>
    <w:p w:rsidR="00747798" w:rsidRPr="00AE02D3" w:rsidRDefault="00747798" w:rsidP="007A0528">
      <w:pPr>
        <w:rPr>
          <w:b/>
          <w:u w:val="single"/>
          <w:lang w:val="nn-NO"/>
        </w:rPr>
      </w:pPr>
    </w:p>
    <w:p w:rsidR="007A0528" w:rsidRPr="00AE02D3" w:rsidRDefault="007A0528" w:rsidP="007A0528">
      <w:pPr>
        <w:rPr>
          <w:b/>
          <w:u w:val="single"/>
          <w:lang w:val="nn-NO"/>
        </w:rPr>
      </w:pPr>
      <w:r w:rsidRPr="00AE02D3">
        <w:rPr>
          <w:b/>
          <w:u w:val="single"/>
          <w:lang w:val="nn-NO"/>
        </w:rPr>
        <w:lastRenderedPageBreak/>
        <w:t>Tabell 8: Kjønnsbalanse og løn</w:t>
      </w:r>
      <w:r w:rsidR="00BE70C8" w:rsidRPr="00AE02D3">
        <w:rPr>
          <w:b/>
          <w:u w:val="single"/>
          <w:lang w:val="nn-NO"/>
        </w:rPr>
        <w:t>n</w:t>
      </w:r>
      <w:r w:rsidRPr="00AE02D3">
        <w:rPr>
          <w:b/>
          <w:u w:val="single"/>
          <w:lang w:val="nn-NO"/>
        </w:rPr>
        <w:t xml:space="preserve"> i 2019 </w:t>
      </w:r>
    </w:p>
    <w:p w:rsidR="007A0528" w:rsidRPr="00AE02D3" w:rsidRDefault="007A0528" w:rsidP="007A0528">
      <w:pPr>
        <w:spacing w:before="0" w:after="0"/>
        <w:rPr>
          <w:rFonts w:eastAsiaTheme="minorEastAsia"/>
          <w:color w:val="000000" w:themeColor="dark1"/>
          <w:lang w:val="nn-NO"/>
        </w:rPr>
      </w:pPr>
    </w:p>
    <w:tbl>
      <w:tblPr>
        <w:tblW w:w="8922" w:type="dxa"/>
        <w:tblCellMar>
          <w:left w:w="70" w:type="dxa"/>
          <w:right w:w="70" w:type="dxa"/>
        </w:tblCellMar>
        <w:tblLook w:val="04A0" w:firstRow="1" w:lastRow="0" w:firstColumn="1" w:lastColumn="0" w:noHBand="0" w:noVBand="1"/>
      </w:tblPr>
      <w:tblGrid>
        <w:gridCol w:w="1809"/>
        <w:gridCol w:w="885"/>
        <w:gridCol w:w="770"/>
        <w:gridCol w:w="707"/>
        <w:gridCol w:w="877"/>
        <w:gridCol w:w="2131"/>
        <w:gridCol w:w="1743"/>
      </w:tblGrid>
      <w:tr w:rsidR="007A0528" w:rsidRPr="004C1D84" w:rsidTr="002D2511">
        <w:trPr>
          <w:trHeight w:val="402"/>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AE02D3" w:rsidRDefault="007A0528" w:rsidP="002D2511">
            <w:pPr>
              <w:spacing w:before="0" w:after="0"/>
              <w:rPr>
                <w:lang w:val="nn-NO"/>
              </w:rPr>
            </w:pPr>
            <w:r w:rsidRPr="00AE02D3">
              <w:rPr>
                <w:lang w:val="nn-NO"/>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7A0528" w:rsidRPr="00AE02D3" w:rsidRDefault="007A0528" w:rsidP="002D2511">
            <w:pPr>
              <w:spacing w:before="0" w:after="0"/>
              <w:rPr>
                <w:lang w:val="nn-NO"/>
              </w:rPr>
            </w:pPr>
            <w:r w:rsidRPr="00AE02D3">
              <w:rPr>
                <w:lang w:val="nn-NO"/>
              </w:rPr>
              <w:t> </w:t>
            </w:r>
          </w:p>
        </w:tc>
        <w:tc>
          <w:tcPr>
            <w:tcW w:w="2354" w:type="dxa"/>
            <w:gridSpan w:val="3"/>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Kjønnsbalanse per stillingsgruppe</w:t>
            </w:r>
          </w:p>
        </w:tc>
        <w:tc>
          <w:tcPr>
            <w:tcW w:w="387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Løn</w:t>
            </w:r>
            <w:r w:rsidR="00BE70C8">
              <w:t>n</w:t>
            </w:r>
            <w:r w:rsidRPr="004C1D84">
              <w:t xml:space="preserve"> (kvinner si løn</w:t>
            </w:r>
            <w:r w:rsidR="00BE70C8">
              <w:t>n</w:t>
            </w:r>
            <w:r w:rsidRPr="004C1D84">
              <w:t xml:space="preserve"> i prosent av menn si løn</w:t>
            </w:r>
            <w:r w:rsidR="00BE70C8">
              <w:t>n</w:t>
            </w:r>
            <w:r w:rsidRPr="004C1D84">
              <w:t>)</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M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K %</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Total (N)</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M (kr/%)</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K (kr/%)</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 = 2019</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 = 2018</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Totalt i LDO</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26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74</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39 </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100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101,1</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31</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69</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39</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95,8</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Ombodet</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Avdelingsleiar</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100</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3</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 xml:space="preserve">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 xml:space="preserve">100/844 333 </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33</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67</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3</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100/910 000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88,9/809 200</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r w:rsidRPr="004C1D84">
              <w:t>Informasjonssjef</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r w:rsidRPr="004C1D84">
              <w:t>100</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r w:rsidRPr="004C1D84">
              <w:t>1</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r w:rsidRPr="004C1D84">
              <w:t>100/765 100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r w:rsidRPr="004C1D84">
              <w:t>100</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r w:rsidRPr="004C1D84">
              <w:t>1</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r w:rsidRPr="004C1D84">
              <w:t>100/776 700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jc w:val="right"/>
            </w:pP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Fagdirektør</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6</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100/714 483</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17</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83</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6</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100/660 100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105,7/698 160</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Seniorrådgjevar</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 xml:space="preserve">61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 xml:space="preserve">39 </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18 </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100/624 620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97,6/609 473</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38</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62</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21</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100/602 486</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94,9/571 578</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Rådgjevar</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 xml:space="preserve">25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75</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8 </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100/547 600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99,5/545 000</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fjor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20</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80</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5</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100/515 200</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101,8/524 650</w:t>
            </w:r>
          </w:p>
        </w:tc>
      </w:tr>
      <w:tr w:rsidR="007A0528" w:rsidRPr="004C1D84" w:rsidTr="002D2511">
        <w:trPr>
          <w:trHeight w:val="402"/>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Seniorkonsulent</w:t>
            </w:r>
          </w:p>
        </w:tc>
        <w:tc>
          <w:tcPr>
            <w:tcW w:w="885"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100</w:t>
            </w:r>
          </w:p>
        </w:tc>
        <w:tc>
          <w:tcPr>
            <w:tcW w:w="877"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rPr>
                <w:highlight w:val="yellow"/>
              </w:rPr>
            </w:pPr>
            <w:r w:rsidRPr="004C1D84">
              <w:t xml:space="preserve">  1 </w:t>
            </w:r>
          </w:p>
        </w:tc>
        <w:tc>
          <w:tcPr>
            <w:tcW w:w="2131"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w:t>
            </w:r>
          </w:p>
        </w:tc>
        <w:tc>
          <w:tcPr>
            <w:tcW w:w="1743" w:type="dxa"/>
            <w:tcBorders>
              <w:top w:val="nil"/>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xml:space="preserve">100/504 700 </w:t>
            </w:r>
          </w:p>
        </w:tc>
      </w:tr>
      <w:tr w:rsidR="007A0528" w:rsidRPr="004C1D84" w:rsidTr="002D2511">
        <w:trPr>
          <w:trHeight w:val="402"/>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28" w:rsidRPr="004C1D84" w:rsidRDefault="007A0528" w:rsidP="002D2511">
            <w:pPr>
              <w:spacing w:before="0" w:after="0"/>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7A0528" w:rsidRPr="004C1D84" w:rsidRDefault="007A0528" w:rsidP="002D2511">
            <w:pPr>
              <w:spacing w:before="0" w:after="0"/>
            </w:pPr>
            <w:r w:rsidRPr="004C1D84">
              <w:t>I fjor</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7A0528" w:rsidRPr="004C1D84" w:rsidRDefault="007A0528" w:rsidP="002D2511">
            <w:pPr>
              <w:spacing w:before="0" w:after="0"/>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7A0528" w:rsidRPr="004C1D84" w:rsidRDefault="007A0528" w:rsidP="002D2511">
            <w:pPr>
              <w:spacing w:before="0" w:after="0"/>
              <w:jc w:val="right"/>
            </w:pPr>
            <w:r w:rsidRPr="004C1D84">
              <w:t>100</w:t>
            </w:r>
          </w:p>
        </w:tc>
        <w:tc>
          <w:tcPr>
            <w:tcW w:w="877" w:type="dxa"/>
            <w:tcBorders>
              <w:top w:val="single" w:sz="4" w:space="0" w:color="auto"/>
              <w:left w:val="nil"/>
              <w:bottom w:val="single" w:sz="4" w:space="0" w:color="auto"/>
              <w:right w:val="single" w:sz="4" w:space="0" w:color="auto"/>
            </w:tcBorders>
            <w:shd w:val="clear" w:color="auto" w:fill="auto"/>
            <w:noWrap/>
            <w:vAlign w:val="bottom"/>
          </w:tcPr>
          <w:p w:rsidR="007A0528" w:rsidRPr="004C1D84" w:rsidRDefault="007A0528" w:rsidP="002D2511">
            <w:pPr>
              <w:spacing w:before="0" w:after="0"/>
              <w:jc w:val="right"/>
            </w:pPr>
            <w:r w:rsidRPr="004C1D84">
              <w:t>1</w:t>
            </w:r>
          </w:p>
        </w:tc>
        <w:tc>
          <w:tcPr>
            <w:tcW w:w="2131" w:type="dxa"/>
            <w:tcBorders>
              <w:top w:val="single" w:sz="4" w:space="0" w:color="auto"/>
              <w:left w:val="nil"/>
              <w:bottom w:val="single" w:sz="4" w:space="0" w:color="auto"/>
              <w:right w:val="single" w:sz="4" w:space="0" w:color="auto"/>
            </w:tcBorders>
            <w:shd w:val="clear" w:color="auto" w:fill="auto"/>
            <w:noWrap/>
            <w:vAlign w:val="bottom"/>
          </w:tcPr>
          <w:p w:rsidR="007A0528" w:rsidRPr="004C1D84" w:rsidRDefault="007A0528" w:rsidP="002D2511">
            <w:pPr>
              <w:spacing w:before="0" w:after="0"/>
              <w:jc w:val="right"/>
            </w:pPr>
          </w:p>
        </w:tc>
        <w:tc>
          <w:tcPr>
            <w:tcW w:w="1743" w:type="dxa"/>
            <w:tcBorders>
              <w:top w:val="single" w:sz="4" w:space="0" w:color="auto"/>
              <w:left w:val="nil"/>
              <w:bottom w:val="single" w:sz="4" w:space="0" w:color="auto"/>
              <w:right w:val="single" w:sz="4" w:space="0" w:color="auto"/>
            </w:tcBorders>
            <w:shd w:val="clear" w:color="auto" w:fill="auto"/>
            <w:noWrap/>
            <w:vAlign w:val="bottom"/>
          </w:tcPr>
          <w:p w:rsidR="007A0528" w:rsidRPr="004C1D84" w:rsidRDefault="007A0528" w:rsidP="002D2511">
            <w:pPr>
              <w:spacing w:before="0" w:after="0"/>
              <w:jc w:val="right"/>
            </w:pPr>
            <w:r w:rsidRPr="004C1D84">
              <w:t>100/488 500</w:t>
            </w:r>
          </w:p>
        </w:tc>
      </w:tr>
      <w:tr w:rsidR="007A0528" w:rsidRPr="004C1D84" w:rsidTr="002D2511">
        <w:trPr>
          <w:trHeight w:val="402"/>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4C1D84" w:rsidRDefault="00580E65" w:rsidP="00580E65">
            <w:pPr>
              <w:spacing w:before="0" w:after="0"/>
            </w:pPr>
            <w:r>
              <w:t>Førstekonsulent</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I år</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1</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7A0528" w:rsidRPr="004C1D84" w:rsidRDefault="00580E65" w:rsidP="002D2511">
            <w:pPr>
              <w:spacing w:before="0" w:after="0"/>
              <w:jc w:val="right"/>
            </w:pPr>
            <w:r>
              <w:t>100/480 000</w:t>
            </w:r>
          </w:p>
        </w:tc>
      </w:tr>
      <w:tr w:rsidR="007A0528" w:rsidRPr="004C1D84" w:rsidTr="00580E65">
        <w:trPr>
          <w:trHeight w:val="402"/>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4C1D84" w:rsidRDefault="00B53B1D" w:rsidP="002D2511">
            <w:pPr>
              <w:spacing w:before="0" w:after="0"/>
            </w:pPr>
            <w:r>
              <w:t>I fjor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pPr>
            <w:r w:rsidRPr="004C1D84">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28" w:rsidRPr="004C1D84" w:rsidRDefault="00B53B1D" w:rsidP="002D2511">
            <w:pPr>
              <w:spacing w:before="0" w:after="0"/>
              <w:jc w:val="right"/>
            </w:pPr>
            <w:r>
              <w:t>-</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28" w:rsidRPr="004C1D84" w:rsidRDefault="007A0528" w:rsidP="002D2511">
            <w:pPr>
              <w:spacing w:before="0" w:after="0"/>
              <w:jc w:val="right"/>
            </w:pP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r w:rsidRPr="004C1D84">
              <w:t> </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28" w:rsidRPr="004C1D84" w:rsidRDefault="007A0528" w:rsidP="002D2511">
            <w:pPr>
              <w:spacing w:before="0" w:after="0"/>
              <w:jc w:val="right"/>
            </w:pPr>
          </w:p>
        </w:tc>
      </w:tr>
    </w:tbl>
    <w:p w:rsidR="007A0528" w:rsidRPr="004C1D84" w:rsidRDefault="007A0528" w:rsidP="007A0528">
      <w:pPr>
        <w:spacing w:before="0" w:after="0"/>
        <w:rPr>
          <w:rFonts w:eastAsiaTheme="minorEastAsia"/>
          <w:color w:val="000000" w:themeColor="dark1"/>
        </w:rPr>
      </w:pPr>
    </w:p>
    <w:p w:rsidR="007A0528" w:rsidRPr="004C1D84" w:rsidRDefault="007A0528" w:rsidP="007A0528">
      <w:pPr>
        <w:spacing w:before="0" w:after="0"/>
        <w:rPr>
          <w:rFonts w:eastAsiaTheme="minorEastAsia"/>
          <w:color w:val="000000" w:themeColor="dark1"/>
        </w:rPr>
      </w:pPr>
    </w:p>
    <w:p w:rsidR="007A0528" w:rsidRPr="00AE02D3" w:rsidRDefault="007A0528" w:rsidP="007A0528">
      <w:pPr>
        <w:spacing w:before="0" w:after="0"/>
        <w:rPr>
          <w:rFonts w:eastAsiaTheme="minorEastAsia"/>
        </w:rPr>
      </w:pPr>
      <w:r w:rsidRPr="00AE02D3">
        <w:rPr>
          <w:rFonts w:eastAsiaTheme="minorEastAsia"/>
          <w:color w:val="000000" w:themeColor="dark1"/>
        </w:rPr>
        <w:t>Om utvalet: Tabellen viser kvinner si løn</w:t>
      </w:r>
      <w:r w:rsidR="008471B7" w:rsidRPr="00AE02D3">
        <w:rPr>
          <w:rFonts w:eastAsiaTheme="minorEastAsia"/>
          <w:color w:val="000000" w:themeColor="dark1"/>
        </w:rPr>
        <w:t>n</w:t>
      </w:r>
      <w:r w:rsidRPr="00AE02D3">
        <w:rPr>
          <w:rFonts w:eastAsiaTheme="minorEastAsia"/>
          <w:color w:val="000000" w:themeColor="dark1"/>
        </w:rPr>
        <w:t xml:space="preserve"> i prosent av menn si løn</w:t>
      </w:r>
      <w:r w:rsidR="008471B7" w:rsidRPr="00AE02D3">
        <w:rPr>
          <w:rFonts w:eastAsiaTheme="minorEastAsia"/>
          <w:color w:val="000000" w:themeColor="dark1"/>
        </w:rPr>
        <w:t>n</w:t>
      </w:r>
      <w:r w:rsidRPr="00AE02D3">
        <w:rPr>
          <w:rFonts w:eastAsiaTheme="minorEastAsia"/>
          <w:color w:val="000000" w:themeColor="dark1"/>
        </w:rPr>
        <w:t xml:space="preserve"> på kvart stillingsnivå per 31.12.2019. Gjennomsnittleg løn</w:t>
      </w:r>
      <w:r w:rsidR="008471B7" w:rsidRPr="00AE02D3">
        <w:rPr>
          <w:rFonts w:eastAsiaTheme="minorEastAsia"/>
          <w:color w:val="000000" w:themeColor="dark1"/>
        </w:rPr>
        <w:t>n</w:t>
      </w:r>
      <w:r w:rsidRPr="00AE02D3">
        <w:rPr>
          <w:rFonts w:eastAsiaTheme="minorEastAsia"/>
          <w:color w:val="000000" w:themeColor="dark1"/>
        </w:rPr>
        <w:t xml:space="preserve"> per år er rekna ut frå heiltidsekvivalentar. </w:t>
      </w:r>
    </w:p>
    <w:p w:rsidR="007A0528" w:rsidRPr="004C1D84" w:rsidRDefault="007A0528" w:rsidP="007A0528">
      <w:pPr>
        <w:spacing w:before="0" w:after="0"/>
        <w:rPr>
          <w:rFonts w:eastAsiaTheme="minorEastAsia"/>
          <w:lang w:val="nn-NO"/>
        </w:rPr>
      </w:pPr>
      <w:r w:rsidRPr="004C1D84">
        <w:rPr>
          <w:rFonts w:eastAsiaTheme="minorEastAsia"/>
          <w:color w:val="000000" w:themeColor="dark1"/>
          <w:lang w:val="nn-NO"/>
        </w:rPr>
        <w:t>Medarbeidarar i permisjon utan løn</w:t>
      </w:r>
      <w:r w:rsidR="000D44FD">
        <w:rPr>
          <w:rFonts w:eastAsiaTheme="minorEastAsia"/>
          <w:color w:val="000000" w:themeColor="dark1"/>
          <w:lang w:val="nn-NO"/>
        </w:rPr>
        <w:t>n</w:t>
      </w:r>
      <w:r w:rsidRPr="004C1D84">
        <w:rPr>
          <w:rFonts w:eastAsiaTheme="minorEastAsia"/>
          <w:color w:val="000000" w:themeColor="dark1"/>
          <w:lang w:val="nn-NO"/>
        </w:rPr>
        <w:t xml:space="preserve"> er ikkje med i snittberekninga, men inngår i totalen (N).  Ombodet får løn</w:t>
      </w:r>
      <w:r w:rsidR="000D44FD">
        <w:rPr>
          <w:rFonts w:eastAsiaTheme="minorEastAsia"/>
          <w:color w:val="000000" w:themeColor="dark1"/>
          <w:lang w:val="nn-NO"/>
        </w:rPr>
        <w:t>n</w:t>
      </w:r>
      <w:r w:rsidRPr="004C1D84">
        <w:rPr>
          <w:rFonts w:eastAsiaTheme="minorEastAsia"/>
          <w:color w:val="000000" w:themeColor="dark1"/>
          <w:lang w:val="nn-NO"/>
        </w:rPr>
        <w:t xml:space="preserve"> etter leiarløn</w:t>
      </w:r>
      <w:r w:rsidR="000D44FD">
        <w:rPr>
          <w:rFonts w:eastAsiaTheme="minorEastAsia"/>
          <w:color w:val="000000" w:themeColor="dark1"/>
          <w:lang w:val="nn-NO"/>
        </w:rPr>
        <w:t>n</w:t>
      </w:r>
      <w:r w:rsidRPr="004C1D84">
        <w:rPr>
          <w:rFonts w:eastAsiaTheme="minorEastAsia"/>
          <w:color w:val="000000" w:themeColor="dark1"/>
          <w:lang w:val="nn-NO"/>
        </w:rPr>
        <w:t xml:space="preserve">stabellen og er følgjeleg heller ikkje med i oversikta, men inngår i totalen (N). Ein fagdirektør har fungert som avdelingsleiar gjennom </w:t>
      </w:r>
      <w:r w:rsidR="000D44FD">
        <w:rPr>
          <w:rFonts w:eastAsiaTheme="minorEastAsia"/>
          <w:color w:val="000000" w:themeColor="dark1"/>
          <w:lang w:val="nn-NO"/>
        </w:rPr>
        <w:t>dela</w:t>
      </w:r>
      <w:r w:rsidR="00030DDC">
        <w:rPr>
          <w:rFonts w:eastAsiaTheme="minorEastAsia"/>
          <w:color w:val="000000" w:themeColor="dark1"/>
          <w:lang w:val="nn-NO"/>
        </w:rPr>
        <w:t xml:space="preserve">r av </w:t>
      </w:r>
      <w:r w:rsidRPr="004C1D84">
        <w:rPr>
          <w:rFonts w:eastAsiaTheme="minorEastAsia"/>
          <w:color w:val="000000" w:themeColor="dark1"/>
          <w:lang w:val="nn-NO"/>
        </w:rPr>
        <w:t>året. Vedkomande inngår i gruppa avdelingsleiar, både i totalen og snittløn</w:t>
      </w:r>
      <w:r w:rsidR="00E44675">
        <w:rPr>
          <w:rFonts w:eastAsiaTheme="minorEastAsia"/>
          <w:color w:val="000000" w:themeColor="dark1"/>
          <w:lang w:val="nn-NO"/>
        </w:rPr>
        <w:t>n</w:t>
      </w:r>
      <w:r w:rsidRPr="004C1D84">
        <w:rPr>
          <w:rFonts w:eastAsiaTheme="minorEastAsia"/>
          <w:color w:val="000000" w:themeColor="dark1"/>
          <w:lang w:val="nn-NO"/>
        </w:rPr>
        <w:t xml:space="preserve">. </w:t>
      </w:r>
    </w:p>
    <w:p w:rsidR="007A0528" w:rsidRDefault="007A0528" w:rsidP="007A0528">
      <w:pPr>
        <w:rPr>
          <w:u w:val="single"/>
          <w:lang w:val="nn-NO"/>
        </w:rPr>
      </w:pPr>
    </w:p>
    <w:p w:rsidR="001D0BDE" w:rsidRDefault="001D0BDE" w:rsidP="007A0528">
      <w:pPr>
        <w:rPr>
          <w:u w:val="single"/>
          <w:lang w:val="nn-NO"/>
        </w:rPr>
      </w:pPr>
    </w:p>
    <w:p w:rsidR="001D0BDE" w:rsidRPr="004C1D84" w:rsidRDefault="001D0BDE" w:rsidP="007A0528">
      <w:pPr>
        <w:rPr>
          <w:u w:val="single"/>
          <w:lang w:val="nn-NO"/>
        </w:rPr>
      </w:pPr>
    </w:p>
    <w:p w:rsidR="00AE02D3" w:rsidRDefault="00AE02D3" w:rsidP="001D0BDE">
      <w:pPr>
        <w:rPr>
          <w:b/>
          <w:lang w:val="nn-NO"/>
        </w:rPr>
      </w:pPr>
    </w:p>
    <w:p w:rsidR="001D0BDE" w:rsidRPr="002E05FB" w:rsidRDefault="001D0BDE" w:rsidP="001D0BDE">
      <w:pPr>
        <w:rPr>
          <w:b/>
          <w:lang w:val="nn-NO"/>
        </w:rPr>
      </w:pPr>
      <w:r w:rsidRPr="002E05FB">
        <w:rPr>
          <w:b/>
          <w:lang w:val="nn-NO"/>
        </w:rPr>
        <w:t>Andre g</w:t>
      </w:r>
      <w:r w:rsidR="004B26C1" w:rsidRPr="002E05FB">
        <w:rPr>
          <w:b/>
          <w:lang w:val="nn-NO"/>
        </w:rPr>
        <w:t>odtgjersler</w:t>
      </w:r>
      <w:r w:rsidRPr="002E05FB">
        <w:rPr>
          <w:b/>
          <w:lang w:val="nn-NO"/>
        </w:rPr>
        <w:t xml:space="preserve"> fordelt på kvinner og menn</w:t>
      </w:r>
    </w:p>
    <w:p w:rsidR="001D0BDE" w:rsidRPr="002E05FB" w:rsidRDefault="001D0BDE" w:rsidP="001D0BDE">
      <w:pPr>
        <w:rPr>
          <w:lang w:val="nn-NO"/>
        </w:rPr>
      </w:pPr>
      <w:r w:rsidRPr="002E05FB">
        <w:rPr>
          <w:lang w:val="nn-NO"/>
        </w:rPr>
        <w:t>Av de</w:t>
      </w:r>
      <w:r w:rsidR="00011A0E" w:rsidRPr="002E05FB">
        <w:rPr>
          <w:lang w:val="nn-NO"/>
        </w:rPr>
        <w:t>i</w:t>
      </w:r>
      <w:r w:rsidR="00C33B9C" w:rsidRPr="002E05FB">
        <w:rPr>
          <w:lang w:val="nn-NO"/>
        </w:rPr>
        <w:t xml:space="preserve"> 17 tilse</w:t>
      </w:r>
      <w:r w:rsidR="00011A0E" w:rsidRPr="002E05FB">
        <w:rPr>
          <w:lang w:val="nn-NO"/>
        </w:rPr>
        <w:t>tte som arbeidde</w:t>
      </w:r>
      <w:r w:rsidRPr="002E05FB">
        <w:rPr>
          <w:lang w:val="nn-NO"/>
        </w:rPr>
        <w:t xml:space="preserve"> overtid i 2019 var 12 kvinner og fem menn. Kv</w:t>
      </w:r>
      <w:r w:rsidR="00961362" w:rsidRPr="002E05FB">
        <w:rPr>
          <w:lang w:val="nn-NO"/>
        </w:rPr>
        <w:t>innene fikk betalt for til saman</w:t>
      </w:r>
      <w:r w:rsidRPr="002E05FB">
        <w:rPr>
          <w:lang w:val="nn-NO"/>
        </w:rPr>
        <w:t xml:space="preserve"> 1</w:t>
      </w:r>
      <w:r w:rsidR="00C33B9C" w:rsidRPr="002E05FB">
        <w:rPr>
          <w:lang w:val="nn-NO"/>
        </w:rPr>
        <w:t>23,3 tima</w:t>
      </w:r>
      <w:r w:rsidR="00961362" w:rsidRPr="002E05FB">
        <w:rPr>
          <w:lang w:val="nn-NO"/>
        </w:rPr>
        <w:t>r overtid, som tilsvara</w:t>
      </w:r>
      <w:r w:rsidRPr="002E05FB">
        <w:rPr>
          <w:lang w:val="nn-NO"/>
        </w:rPr>
        <w:t>r e</w:t>
      </w:r>
      <w:r w:rsidR="00961362" w:rsidRPr="002E05FB">
        <w:rPr>
          <w:lang w:val="nn-NO"/>
        </w:rPr>
        <w:t>i</w:t>
      </w:r>
      <w:r w:rsidRPr="002E05FB">
        <w:rPr>
          <w:lang w:val="nn-NO"/>
        </w:rPr>
        <w:t>t gjennom</w:t>
      </w:r>
      <w:r w:rsidR="004E564F" w:rsidRPr="002E05FB">
        <w:rPr>
          <w:lang w:val="nn-NO"/>
        </w:rPr>
        <w:t xml:space="preserve">snitt på </w:t>
      </w:r>
      <w:r w:rsidR="00C33B9C" w:rsidRPr="002E05FB">
        <w:rPr>
          <w:lang w:val="nn-NO"/>
        </w:rPr>
        <w:t>10,3 tima</w:t>
      </w:r>
      <w:r w:rsidR="004E564F" w:rsidRPr="002E05FB">
        <w:rPr>
          <w:lang w:val="nn-NO"/>
        </w:rPr>
        <w:t>r pr. kvinnele</w:t>
      </w:r>
      <w:r w:rsidR="00C33B9C" w:rsidRPr="002E05FB">
        <w:rPr>
          <w:lang w:val="nn-NO"/>
        </w:rPr>
        <w:t>g tilsett</w:t>
      </w:r>
      <w:r w:rsidRPr="002E05FB">
        <w:rPr>
          <w:lang w:val="nn-NO"/>
        </w:rPr>
        <w:t xml:space="preserve">. </w:t>
      </w:r>
      <w:r w:rsidR="00C33B9C" w:rsidRPr="002E05FB">
        <w:rPr>
          <w:lang w:val="nn-NO"/>
        </w:rPr>
        <w:t>Menn arbeidde til saman 90,5 timar overtid, som gjev</w:t>
      </w:r>
      <w:r w:rsidRPr="002E05FB">
        <w:rPr>
          <w:lang w:val="nn-NO"/>
        </w:rPr>
        <w:t xml:space="preserve"> e</w:t>
      </w:r>
      <w:r w:rsidR="00C33B9C" w:rsidRPr="002E05FB">
        <w:rPr>
          <w:lang w:val="nn-NO"/>
        </w:rPr>
        <w:t>it gjennomsnitt på 18,1 timar pr. mannleg tilsett. Av totalt 213,9 tima</w:t>
      </w:r>
      <w:r w:rsidRPr="002E05FB">
        <w:rPr>
          <w:lang w:val="nn-NO"/>
        </w:rPr>
        <w:t>r overtid er 58 prosent utført</w:t>
      </w:r>
      <w:r w:rsidR="009416B0" w:rsidRPr="002E05FB">
        <w:rPr>
          <w:lang w:val="nn-NO"/>
        </w:rPr>
        <w:t>e</w:t>
      </w:r>
      <w:r w:rsidRPr="002E05FB">
        <w:rPr>
          <w:lang w:val="nn-NO"/>
        </w:rPr>
        <w:t xml:space="preserve"> av kvinner og 42 prosent utført</w:t>
      </w:r>
      <w:r w:rsidR="009416B0" w:rsidRPr="002E05FB">
        <w:rPr>
          <w:lang w:val="nn-NO"/>
        </w:rPr>
        <w:t>e</w:t>
      </w:r>
      <w:r w:rsidRPr="002E05FB">
        <w:rPr>
          <w:lang w:val="nn-NO"/>
        </w:rPr>
        <w:t xml:space="preserve"> av menn. </w:t>
      </w:r>
    </w:p>
    <w:p w:rsidR="001D0BDE" w:rsidRPr="002E05FB" w:rsidRDefault="00E0384E" w:rsidP="001D0BDE">
      <w:pPr>
        <w:rPr>
          <w:lang w:val="nn-NO"/>
        </w:rPr>
      </w:pPr>
      <w:r w:rsidRPr="002E05FB">
        <w:rPr>
          <w:lang w:val="nn-NO"/>
        </w:rPr>
        <w:t>LDO har ei</w:t>
      </w:r>
      <w:r w:rsidR="001D0BDE" w:rsidRPr="002E05FB">
        <w:rPr>
          <w:lang w:val="nn-NO"/>
        </w:rPr>
        <w:t xml:space="preserve"> ordning med e</w:t>
      </w:r>
      <w:r w:rsidRPr="002E05FB">
        <w:rPr>
          <w:lang w:val="nn-NO"/>
        </w:rPr>
        <w:t>it pressevakttillegg for å ve</w:t>
      </w:r>
      <w:r w:rsidR="001D0BDE" w:rsidRPr="002E05FB">
        <w:rPr>
          <w:lang w:val="nn-NO"/>
        </w:rPr>
        <w:t xml:space="preserve">re tilgjengelig for </w:t>
      </w:r>
      <w:r w:rsidRPr="002E05FB">
        <w:rPr>
          <w:lang w:val="nn-NO"/>
        </w:rPr>
        <w:t>førespurnadar frå pressa utover vanle</w:t>
      </w:r>
      <w:r w:rsidR="001D0BDE" w:rsidRPr="002E05FB">
        <w:rPr>
          <w:lang w:val="nn-NO"/>
        </w:rPr>
        <w:t>g kontortid. Det var kommunikasjonssjefen og e</w:t>
      </w:r>
      <w:r w:rsidR="00666F3D" w:rsidRPr="002E05FB">
        <w:rPr>
          <w:lang w:val="nn-NO"/>
        </w:rPr>
        <w:t xml:space="preserve">in kommunikasjonsrådgjevar </w:t>
      </w:r>
      <w:r w:rsidR="00AD4812" w:rsidRPr="002E05FB">
        <w:rPr>
          <w:lang w:val="nn-NO"/>
        </w:rPr>
        <w:t xml:space="preserve">som </w:t>
      </w:r>
      <w:r w:rsidR="00666F3D" w:rsidRPr="002E05FB">
        <w:rPr>
          <w:lang w:val="nn-NO"/>
        </w:rPr>
        <w:t>handterte pressevakta</w:t>
      </w:r>
      <w:r w:rsidR="001D0BDE" w:rsidRPr="002E05FB">
        <w:rPr>
          <w:lang w:val="nn-NO"/>
        </w:rPr>
        <w:t xml:space="preserve"> i 2019 og begge var menn. </w:t>
      </w:r>
    </w:p>
    <w:p w:rsidR="007A0528" w:rsidRPr="001D0BDE" w:rsidRDefault="007A0528" w:rsidP="007A0528">
      <w:r w:rsidRPr="001D0BDE">
        <w:br w:type="page"/>
      </w:r>
    </w:p>
    <w:p w:rsidR="007A0528" w:rsidRPr="004C1D84" w:rsidRDefault="007A0528" w:rsidP="007A0528">
      <w:pPr>
        <w:rPr>
          <w:b/>
          <w:u w:val="single"/>
          <w:lang w:val="nn-NO"/>
        </w:rPr>
      </w:pPr>
      <w:r w:rsidRPr="004C1D84">
        <w:rPr>
          <w:b/>
          <w:u w:val="single"/>
          <w:lang w:val="nn-NO"/>
        </w:rPr>
        <w:lastRenderedPageBreak/>
        <w:t xml:space="preserve">Tabell 9: Aktivitets- og rapporteringsplikt i LDO </w:t>
      </w:r>
    </w:p>
    <w:tbl>
      <w:tblPr>
        <w:tblStyle w:val="Tabellrutenett"/>
        <w:tblW w:w="10168" w:type="dxa"/>
        <w:tblInd w:w="-289" w:type="dxa"/>
        <w:tblLayout w:type="fixed"/>
        <w:tblLook w:val="04A0" w:firstRow="1" w:lastRow="0" w:firstColumn="1" w:lastColumn="0" w:noHBand="0" w:noVBand="1"/>
      </w:tblPr>
      <w:tblGrid>
        <w:gridCol w:w="1844"/>
        <w:gridCol w:w="1530"/>
        <w:gridCol w:w="1446"/>
        <w:gridCol w:w="1247"/>
        <w:gridCol w:w="1305"/>
        <w:gridCol w:w="1389"/>
        <w:gridCol w:w="1407"/>
      </w:tblGrid>
      <w:tr w:rsidR="007A0528" w:rsidRPr="004C1D84" w:rsidTr="002D2511">
        <w:tc>
          <w:tcPr>
            <w:tcW w:w="10168" w:type="dxa"/>
            <w:gridSpan w:val="7"/>
          </w:tcPr>
          <w:p w:rsidR="007A0528" w:rsidRPr="004C1D84" w:rsidRDefault="007A0528" w:rsidP="002D2511">
            <w:pPr>
              <w:rPr>
                <w:b/>
              </w:rPr>
            </w:pPr>
            <w:r w:rsidRPr="004C1D84">
              <w:rPr>
                <w:b/>
              </w:rPr>
              <w:t>Område – rekruttering</w:t>
            </w:r>
          </w:p>
        </w:tc>
      </w:tr>
      <w:tr w:rsidR="007A0528" w:rsidRPr="004C1D84" w:rsidTr="002D2511">
        <w:tc>
          <w:tcPr>
            <w:tcW w:w="1844" w:type="dxa"/>
          </w:tcPr>
          <w:p w:rsidR="007A0528" w:rsidRPr="004C1D84" w:rsidRDefault="007A0528" w:rsidP="002D2511">
            <w:pPr>
              <w:tabs>
                <w:tab w:val="left" w:pos="1095"/>
              </w:tabs>
            </w:pPr>
            <w:r w:rsidRPr="004C1D84">
              <w:t>Mål</w:t>
            </w:r>
            <w:r w:rsidRPr="004C1D84">
              <w:tab/>
            </w:r>
          </w:p>
        </w:tc>
        <w:tc>
          <w:tcPr>
            <w:tcW w:w="1530" w:type="dxa"/>
          </w:tcPr>
          <w:p w:rsidR="007A0528" w:rsidRPr="004C1D84" w:rsidRDefault="007A0528" w:rsidP="002D2511">
            <w:r w:rsidRPr="004C1D84">
              <w:t>Tiltak</w:t>
            </w:r>
          </w:p>
        </w:tc>
        <w:tc>
          <w:tcPr>
            <w:tcW w:w="1446" w:type="dxa"/>
          </w:tcPr>
          <w:p w:rsidR="007A0528" w:rsidRPr="004C1D84" w:rsidRDefault="007A0528" w:rsidP="002D2511">
            <w:r w:rsidRPr="004C1D84">
              <w:t>Forankring</w:t>
            </w:r>
          </w:p>
        </w:tc>
        <w:tc>
          <w:tcPr>
            <w:tcW w:w="1247" w:type="dxa"/>
          </w:tcPr>
          <w:p w:rsidR="007A0528" w:rsidRPr="004C1D84" w:rsidRDefault="007A0528" w:rsidP="002D2511">
            <w:r w:rsidRPr="004C1D84">
              <w:t>Status</w:t>
            </w:r>
          </w:p>
        </w:tc>
        <w:tc>
          <w:tcPr>
            <w:tcW w:w="1305" w:type="dxa"/>
          </w:tcPr>
          <w:p w:rsidR="00D02763" w:rsidRDefault="007A0528" w:rsidP="002D2511">
            <w:r w:rsidRPr="004C1D84">
              <w:t>Gjennom-ført</w:t>
            </w:r>
            <w:r w:rsidRPr="004C1D84">
              <w:br/>
              <w:t>Ja/delvis/</w:t>
            </w:r>
          </w:p>
          <w:p w:rsidR="007A0528" w:rsidRPr="004C1D84" w:rsidRDefault="007A0528" w:rsidP="002D2511">
            <w:r w:rsidRPr="004C1D84">
              <w:t>nei</w:t>
            </w:r>
          </w:p>
        </w:tc>
        <w:tc>
          <w:tcPr>
            <w:tcW w:w="1389" w:type="dxa"/>
          </w:tcPr>
          <w:p w:rsidR="007A0528" w:rsidRPr="004C1D84" w:rsidRDefault="007A0528" w:rsidP="002D2511">
            <w:r w:rsidRPr="004C1D84">
              <w:t>Ansvarleg i LDO</w:t>
            </w:r>
          </w:p>
        </w:tc>
        <w:tc>
          <w:tcPr>
            <w:tcW w:w="1407" w:type="dxa"/>
          </w:tcPr>
          <w:p w:rsidR="007A0528" w:rsidRPr="004C1D84" w:rsidRDefault="007A0528" w:rsidP="002D2511">
            <w:r w:rsidRPr="004C1D84">
              <w:t>Resultat per 2019</w:t>
            </w:r>
          </w:p>
        </w:tc>
      </w:tr>
      <w:tr w:rsidR="007A0528" w:rsidRPr="004C1D84" w:rsidTr="002D2511">
        <w:tc>
          <w:tcPr>
            <w:tcW w:w="1844" w:type="dxa"/>
          </w:tcPr>
          <w:p w:rsidR="007A0528" w:rsidRPr="004C1D84" w:rsidRDefault="007A0528" w:rsidP="002D2511">
            <w:r w:rsidRPr="004C1D84">
              <w:t>LDO skal spegle mangfaldet i befolkninga</w:t>
            </w:r>
          </w:p>
        </w:tc>
        <w:tc>
          <w:tcPr>
            <w:tcW w:w="1530" w:type="dxa"/>
          </w:tcPr>
          <w:p w:rsidR="007A0528" w:rsidRPr="004C1D84" w:rsidRDefault="007A0528" w:rsidP="002D2511">
            <w:pPr>
              <w:rPr>
                <w:lang w:val="nn-NO"/>
              </w:rPr>
            </w:pPr>
            <w:r w:rsidRPr="004C1D84">
              <w:rPr>
                <w:lang w:val="nn-NO"/>
              </w:rPr>
              <w:t>Rekrutterar med mangfalds-erklæring i stillings-annonsar</w:t>
            </w:r>
          </w:p>
        </w:tc>
        <w:tc>
          <w:tcPr>
            <w:tcW w:w="1446" w:type="dxa"/>
          </w:tcPr>
          <w:p w:rsidR="007A0528" w:rsidRPr="004C1D84" w:rsidRDefault="007A0528" w:rsidP="002D2511">
            <w:r w:rsidRPr="004C1D84">
              <w:t>Personal-polit</w:t>
            </w:r>
            <w:r w:rsidR="00E70431">
              <w:t>ikk</w:t>
            </w:r>
            <w:r w:rsidR="00477933">
              <w:t>e</w:t>
            </w:r>
            <w:r w:rsidRPr="004C1D84">
              <w:t>n</w:t>
            </w:r>
          </w:p>
        </w:tc>
        <w:tc>
          <w:tcPr>
            <w:tcW w:w="1247" w:type="dxa"/>
          </w:tcPr>
          <w:p w:rsidR="007A0528" w:rsidRPr="004C1D84" w:rsidRDefault="007A0528" w:rsidP="002D2511"/>
        </w:tc>
        <w:tc>
          <w:tcPr>
            <w:tcW w:w="1305" w:type="dxa"/>
          </w:tcPr>
          <w:p w:rsidR="007A0528" w:rsidRPr="004C1D84" w:rsidRDefault="007A0528" w:rsidP="002D2511">
            <w:r w:rsidRPr="004C1D84">
              <w:t>Ja</w:t>
            </w:r>
          </w:p>
        </w:tc>
        <w:tc>
          <w:tcPr>
            <w:tcW w:w="1389" w:type="dxa"/>
          </w:tcPr>
          <w:p w:rsidR="007A0528" w:rsidRPr="004C1D84" w:rsidRDefault="007A0528" w:rsidP="002D2511">
            <w:r w:rsidRPr="004C1D84">
              <w:t>Ombodet</w:t>
            </w:r>
          </w:p>
        </w:tc>
        <w:tc>
          <w:tcPr>
            <w:tcW w:w="1407" w:type="dxa"/>
          </w:tcPr>
          <w:p w:rsidR="007A0528" w:rsidRPr="004C1D84" w:rsidRDefault="007A0528" w:rsidP="002D2511">
            <w:pPr>
              <w:rPr>
                <w:lang w:val="nn-NO"/>
              </w:rPr>
            </w:pPr>
            <w:r w:rsidRPr="004C1D84">
              <w:rPr>
                <w:lang w:val="nn-NO"/>
              </w:rPr>
              <w:t xml:space="preserve">Åtte kvinner og fire menn tilsett. </w:t>
            </w:r>
          </w:p>
        </w:tc>
      </w:tr>
      <w:tr w:rsidR="007A0528" w:rsidRPr="000D7901" w:rsidTr="002D2511">
        <w:tc>
          <w:tcPr>
            <w:tcW w:w="1844" w:type="dxa"/>
          </w:tcPr>
          <w:p w:rsidR="007A0528" w:rsidRPr="004C1D84" w:rsidRDefault="007A0528" w:rsidP="002D2511">
            <w:r w:rsidRPr="004C1D84">
              <w:t>Jamn kjønnsfordeling, kvinner (K) og menn (M)</w:t>
            </w:r>
          </w:p>
        </w:tc>
        <w:tc>
          <w:tcPr>
            <w:tcW w:w="1530" w:type="dxa"/>
          </w:tcPr>
          <w:p w:rsidR="007A0528" w:rsidRPr="004C1D84" w:rsidRDefault="007A0528" w:rsidP="002D2511">
            <w:r w:rsidRPr="004C1D84">
              <w:t>Som over</w:t>
            </w:r>
          </w:p>
        </w:tc>
        <w:tc>
          <w:tcPr>
            <w:tcW w:w="1446" w:type="dxa"/>
          </w:tcPr>
          <w:p w:rsidR="007A0528" w:rsidRPr="004C1D84" w:rsidRDefault="007A0528" w:rsidP="002D2511">
            <w:r w:rsidRPr="004C1D84">
              <w:t>Personal-</w:t>
            </w:r>
          </w:p>
          <w:p w:rsidR="007A0528" w:rsidRPr="004C1D84" w:rsidRDefault="007A0528" w:rsidP="002D2511">
            <w:r w:rsidRPr="004C1D84">
              <w:t>Polit</w:t>
            </w:r>
            <w:r w:rsidR="00477933">
              <w:t>ikkje</w:t>
            </w:r>
            <w:r w:rsidRPr="004C1D84">
              <w:t>n. Tilpassings-</w:t>
            </w:r>
          </w:p>
          <w:p w:rsidR="007A0528" w:rsidRPr="004C1D84" w:rsidRDefault="007A0528" w:rsidP="002D2511">
            <w:r w:rsidRPr="004C1D84">
              <w:t>Avtalen</w:t>
            </w:r>
          </w:p>
        </w:tc>
        <w:tc>
          <w:tcPr>
            <w:tcW w:w="1247" w:type="dxa"/>
          </w:tcPr>
          <w:p w:rsidR="007A0528" w:rsidRPr="004C1D84" w:rsidRDefault="007A0528" w:rsidP="002D2511">
            <w:r w:rsidRPr="004C1D84">
              <w:rPr>
                <w:i/>
              </w:rPr>
              <w:t>Kjønns-balanse i LDO:</w:t>
            </w:r>
          </w:p>
          <w:p w:rsidR="007A0528" w:rsidRPr="004C1D84" w:rsidRDefault="007A0528" w:rsidP="002D2511">
            <w:r w:rsidRPr="004C1D84">
              <w:t>K: 7</w:t>
            </w:r>
            <w:r>
              <w:t>4</w:t>
            </w:r>
            <w:r w:rsidRPr="004C1D84">
              <w:t xml:space="preserve"> %</w:t>
            </w:r>
          </w:p>
          <w:p w:rsidR="007A0528" w:rsidRPr="004C1D84" w:rsidRDefault="007A0528" w:rsidP="002D2511">
            <w:r w:rsidRPr="004C1D84">
              <w:t>M: 2</w:t>
            </w:r>
            <w:r>
              <w:t>6</w:t>
            </w:r>
            <w:r w:rsidRPr="004C1D84">
              <w:t> %</w:t>
            </w:r>
          </w:p>
        </w:tc>
        <w:tc>
          <w:tcPr>
            <w:tcW w:w="1305" w:type="dxa"/>
          </w:tcPr>
          <w:p w:rsidR="007A0528" w:rsidRPr="004C1D84" w:rsidRDefault="00030DDC" w:rsidP="002D2511">
            <w:r>
              <w:t>Delvis</w:t>
            </w:r>
          </w:p>
        </w:tc>
        <w:tc>
          <w:tcPr>
            <w:tcW w:w="1389" w:type="dxa"/>
          </w:tcPr>
          <w:p w:rsidR="007A0528" w:rsidRPr="004C1D84" w:rsidRDefault="007A0528" w:rsidP="002D2511">
            <w:r w:rsidRPr="004C1D84">
              <w:t>HR og drifts-avdelinga</w:t>
            </w:r>
          </w:p>
        </w:tc>
        <w:tc>
          <w:tcPr>
            <w:tcW w:w="1407" w:type="dxa"/>
          </w:tcPr>
          <w:p w:rsidR="007A0528" w:rsidRPr="004C1D84" w:rsidRDefault="007A0528" w:rsidP="002D2511">
            <w:pPr>
              <w:rPr>
                <w:lang w:val="nn-NO"/>
              </w:rPr>
            </w:pPr>
            <w:r w:rsidRPr="004C1D84">
              <w:rPr>
                <w:lang w:val="nn-NO"/>
              </w:rPr>
              <w:t>Negativ endring frå 2018 – det er færre menn tilsett</w:t>
            </w:r>
            <w:r w:rsidR="00D02763">
              <w:rPr>
                <w:lang w:val="nn-NO"/>
              </w:rPr>
              <w:t>e</w:t>
            </w:r>
            <w:r w:rsidRPr="004C1D84">
              <w:rPr>
                <w:lang w:val="nn-NO"/>
              </w:rPr>
              <w:t xml:space="preserve"> no.</w:t>
            </w:r>
          </w:p>
        </w:tc>
      </w:tr>
      <w:tr w:rsidR="007A0528" w:rsidRPr="000D7901" w:rsidTr="002D2511">
        <w:tc>
          <w:tcPr>
            <w:tcW w:w="1844" w:type="dxa"/>
          </w:tcPr>
          <w:p w:rsidR="007A0528" w:rsidRPr="004C1D84" w:rsidRDefault="007A0528" w:rsidP="002D2511">
            <w:pPr>
              <w:rPr>
                <w:lang w:val="nn-NO"/>
              </w:rPr>
            </w:pPr>
            <w:r w:rsidRPr="004C1D84">
              <w:rPr>
                <w:lang w:val="nn-NO"/>
              </w:rPr>
              <w:t>Minst 40 % av leiarane skal vere menn</w:t>
            </w:r>
          </w:p>
        </w:tc>
        <w:tc>
          <w:tcPr>
            <w:tcW w:w="1530" w:type="dxa"/>
          </w:tcPr>
          <w:p w:rsidR="007A0528" w:rsidRPr="004C1D84" w:rsidRDefault="007A0528" w:rsidP="002D2511">
            <w:pPr>
              <w:rPr>
                <w:lang w:val="nn-NO"/>
              </w:rPr>
            </w:pPr>
            <w:r w:rsidRPr="004C1D84">
              <w:rPr>
                <w:lang w:val="nn-NO"/>
              </w:rPr>
              <w:t>Som over</w:t>
            </w:r>
          </w:p>
        </w:tc>
        <w:tc>
          <w:tcPr>
            <w:tcW w:w="1446" w:type="dxa"/>
          </w:tcPr>
          <w:p w:rsidR="007A0528" w:rsidRPr="004C1D84" w:rsidRDefault="007A0528" w:rsidP="002D2511">
            <w:pPr>
              <w:rPr>
                <w:lang w:val="nn-NO"/>
              </w:rPr>
            </w:pPr>
            <w:r w:rsidRPr="004C1D84">
              <w:rPr>
                <w:lang w:val="nn-NO"/>
              </w:rPr>
              <w:t>Mål for statleg sektor</w:t>
            </w:r>
          </w:p>
        </w:tc>
        <w:tc>
          <w:tcPr>
            <w:tcW w:w="1247" w:type="dxa"/>
          </w:tcPr>
          <w:p w:rsidR="007A0528" w:rsidRPr="004C1D84" w:rsidRDefault="007A0528" w:rsidP="002D2511">
            <w:pPr>
              <w:rPr>
                <w:lang w:val="nn-NO"/>
              </w:rPr>
            </w:pPr>
            <w:r w:rsidRPr="004C1D84">
              <w:rPr>
                <w:lang w:val="nn-NO"/>
              </w:rPr>
              <w:t>Kjønns-</w:t>
            </w:r>
          </w:p>
          <w:p w:rsidR="007A0528" w:rsidRPr="004C1D84" w:rsidRDefault="007A0528" w:rsidP="002D2511">
            <w:pPr>
              <w:rPr>
                <w:lang w:val="nn-NO"/>
              </w:rPr>
            </w:pPr>
            <w:r w:rsidRPr="004C1D84">
              <w:rPr>
                <w:lang w:val="nn-NO"/>
              </w:rPr>
              <w:t xml:space="preserve">balanse i leiar-gruppa: </w:t>
            </w:r>
          </w:p>
          <w:p w:rsidR="007A0528" w:rsidRPr="004C1D84" w:rsidRDefault="007A0528" w:rsidP="002D2511">
            <w:pPr>
              <w:rPr>
                <w:lang w:val="nn-NO"/>
              </w:rPr>
            </w:pPr>
            <w:r w:rsidRPr="004C1D84">
              <w:rPr>
                <w:lang w:val="nn-NO"/>
              </w:rPr>
              <w:t>K: 100 %</w:t>
            </w:r>
          </w:p>
          <w:p w:rsidR="007A0528" w:rsidRPr="004C1D84" w:rsidRDefault="007A0528" w:rsidP="002D2511">
            <w:pPr>
              <w:rPr>
                <w:lang w:val="nn-NO"/>
              </w:rPr>
            </w:pPr>
            <w:r w:rsidRPr="004C1D84">
              <w:rPr>
                <w:lang w:val="nn-NO"/>
              </w:rPr>
              <w:t>M: 0 %</w:t>
            </w:r>
          </w:p>
          <w:p w:rsidR="007A0528" w:rsidRPr="004C1D84" w:rsidRDefault="007A0528" w:rsidP="002D2511">
            <w:pPr>
              <w:rPr>
                <w:lang w:val="nn-NO"/>
              </w:rPr>
            </w:pPr>
            <w:r w:rsidRPr="004C1D84">
              <w:rPr>
                <w:lang w:val="nn-NO"/>
              </w:rPr>
              <w:t>Leiinga består av fire personar inkludert ombodet.</w:t>
            </w:r>
          </w:p>
        </w:tc>
        <w:tc>
          <w:tcPr>
            <w:tcW w:w="1305" w:type="dxa"/>
          </w:tcPr>
          <w:p w:rsidR="007A0528" w:rsidRPr="004C1D84" w:rsidRDefault="00B53B1D" w:rsidP="002D2511">
            <w:pPr>
              <w:rPr>
                <w:lang w:val="nn-NO"/>
              </w:rPr>
            </w:pPr>
            <w:r>
              <w:rPr>
                <w:lang w:val="nn-NO"/>
              </w:rPr>
              <w:t>Nei</w:t>
            </w:r>
          </w:p>
        </w:tc>
        <w:tc>
          <w:tcPr>
            <w:tcW w:w="1389" w:type="dxa"/>
          </w:tcPr>
          <w:p w:rsidR="007A0528" w:rsidRPr="004C1D84" w:rsidRDefault="007A0528" w:rsidP="002D2511">
            <w:pPr>
              <w:rPr>
                <w:lang w:val="nn-NO"/>
              </w:rPr>
            </w:pPr>
            <w:r w:rsidRPr="004C1D84">
              <w:rPr>
                <w:lang w:val="nn-NO"/>
              </w:rPr>
              <w:t>Ombodet</w:t>
            </w:r>
          </w:p>
          <w:p w:rsidR="007A0528" w:rsidRPr="004C1D84" w:rsidRDefault="007A0528" w:rsidP="002D2511">
            <w:pPr>
              <w:rPr>
                <w:lang w:val="nn-NO"/>
              </w:rPr>
            </w:pPr>
          </w:p>
        </w:tc>
        <w:tc>
          <w:tcPr>
            <w:tcW w:w="1407" w:type="dxa"/>
          </w:tcPr>
          <w:p w:rsidR="007A0528" w:rsidRPr="004C1D84" w:rsidRDefault="007A0528" w:rsidP="002D2511">
            <w:pPr>
              <w:rPr>
                <w:lang w:val="nn-NO"/>
              </w:rPr>
            </w:pPr>
            <w:r w:rsidRPr="004C1D84">
              <w:rPr>
                <w:lang w:val="nn-NO"/>
              </w:rPr>
              <w:t xml:space="preserve">Leiinga er minka sidan 2017, jamfør omorgani-seringa det året. </w:t>
            </w:r>
          </w:p>
          <w:p w:rsidR="007A0528" w:rsidRPr="004C1D84" w:rsidRDefault="007A0528" w:rsidP="002D2511">
            <w:pPr>
              <w:rPr>
                <w:lang w:val="nn-NO"/>
              </w:rPr>
            </w:pPr>
          </w:p>
        </w:tc>
      </w:tr>
      <w:tr w:rsidR="007A0528" w:rsidRPr="004C1D84" w:rsidTr="002D2511">
        <w:tc>
          <w:tcPr>
            <w:tcW w:w="1844" w:type="dxa"/>
          </w:tcPr>
          <w:p w:rsidR="007A0528" w:rsidRPr="004C1D84" w:rsidRDefault="007A0528" w:rsidP="002D2511">
            <w:pPr>
              <w:rPr>
                <w:lang w:val="nn-NO"/>
              </w:rPr>
            </w:pPr>
            <w:r w:rsidRPr="004C1D84">
              <w:rPr>
                <w:lang w:val="nn-NO"/>
              </w:rPr>
              <w:t>Minst 15 % skal ha innvandrar- eller etnisk minoritets-bakgrunn (jf. SSBs definisjon)</w:t>
            </w:r>
          </w:p>
        </w:tc>
        <w:tc>
          <w:tcPr>
            <w:tcW w:w="1530" w:type="dxa"/>
          </w:tcPr>
          <w:p w:rsidR="007A0528" w:rsidRPr="004C1D84" w:rsidRDefault="007A0528" w:rsidP="002D2511">
            <w:pPr>
              <w:rPr>
                <w:lang w:val="nn-NO"/>
              </w:rPr>
            </w:pPr>
            <w:r w:rsidRPr="004C1D84">
              <w:rPr>
                <w:lang w:val="nn-NO"/>
              </w:rPr>
              <w:t>Som over</w:t>
            </w:r>
          </w:p>
        </w:tc>
        <w:tc>
          <w:tcPr>
            <w:tcW w:w="1446" w:type="dxa"/>
          </w:tcPr>
          <w:p w:rsidR="007A0528" w:rsidRPr="004C1D84" w:rsidRDefault="007A0528" w:rsidP="002D2511">
            <w:pPr>
              <w:rPr>
                <w:lang w:val="nn-NO"/>
              </w:rPr>
            </w:pPr>
            <w:r w:rsidRPr="004C1D84">
              <w:rPr>
                <w:lang w:val="nn-NO"/>
              </w:rPr>
              <w:t>Personal-polit</w:t>
            </w:r>
            <w:r w:rsidR="00D02763">
              <w:rPr>
                <w:lang w:val="nn-NO"/>
              </w:rPr>
              <w:t>ikk</w:t>
            </w:r>
            <w:r w:rsidR="00477933">
              <w:rPr>
                <w:lang w:val="nn-NO"/>
              </w:rPr>
              <w:t>e</w:t>
            </w:r>
            <w:r w:rsidRPr="004C1D84">
              <w:rPr>
                <w:lang w:val="nn-NO"/>
              </w:rPr>
              <w:t>n.</w:t>
            </w:r>
          </w:p>
          <w:p w:rsidR="007A0528" w:rsidRPr="004C1D84" w:rsidRDefault="007A0528" w:rsidP="002D2511">
            <w:r w:rsidRPr="004C1D84">
              <w:rPr>
                <w:lang w:val="nn-NO"/>
              </w:rPr>
              <w:t>Tilpassing</w:t>
            </w:r>
            <w:r w:rsidRPr="004C1D84">
              <w:t>s-</w:t>
            </w:r>
          </w:p>
          <w:p w:rsidR="007A0528" w:rsidRPr="004C1D84" w:rsidRDefault="007A0528" w:rsidP="002D2511">
            <w:r w:rsidRPr="004C1D84">
              <w:t>avtalen</w:t>
            </w:r>
          </w:p>
        </w:tc>
        <w:tc>
          <w:tcPr>
            <w:tcW w:w="1247" w:type="dxa"/>
          </w:tcPr>
          <w:p w:rsidR="007A0528" w:rsidRPr="004C1D84" w:rsidRDefault="007A0528" w:rsidP="002D2511">
            <w:r w:rsidRPr="004C1D84">
              <w:t xml:space="preserve"> </w:t>
            </w:r>
          </w:p>
        </w:tc>
        <w:tc>
          <w:tcPr>
            <w:tcW w:w="1305" w:type="dxa"/>
          </w:tcPr>
          <w:p w:rsidR="007A0528" w:rsidRPr="004C1D84" w:rsidRDefault="007A0528" w:rsidP="002D2511">
            <w:r w:rsidRPr="004C1D84">
              <w:t>Ja</w:t>
            </w:r>
          </w:p>
        </w:tc>
        <w:tc>
          <w:tcPr>
            <w:tcW w:w="1389" w:type="dxa"/>
          </w:tcPr>
          <w:p w:rsidR="007A0528" w:rsidRPr="004C1D84" w:rsidRDefault="007A0528" w:rsidP="002D2511">
            <w:r w:rsidRPr="004C1D84">
              <w:t>HR og drifts-avdelinga</w:t>
            </w:r>
          </w:p>
        </w:tc>
        <w:tc>
          <w:tcPr>
            <w:tcW w:w="1407" w:type="dxa"/>
          </w:tcPr>
          <w:p w:rsidR="007A0528" w:rsidRPr="004C1D84" w:rsidRDefault="007A0528" w:rsidP="002D2511">
            <w:r w:rsidRPr="004C1D84">
              <w:t>Inga kartlegging gjort i 2019</w:t>
            </w:r>
          </w:p>
        </w:tc>
      </w:tr>
      <w:tr w:rsidR="007A0528" w:rsidRPr="004C1D84" w:rsidTr="002D2511">
        <w:tc>
          <w:tcPr>
            <w:tcW w:w="1844" w:type="dxa"/>
          </w:tcPr>
          <w:p w:rsidR="007A0528" w:rsidRPr="004C1D84" w:rsidRDefault="007A0528" w:rsidP="002D2511">
            <w:r w:rsidRPr="004C1D84">
              <w:t>Minst 10 % skal ha nedsett funksjonsevne</w:t>
            </w:r>
          </w:p>
          <w:p w:rsidR="007A0528" w:rsidRPr="004C1D84" w:rsidRDefault="007A0528" w:rsidP="002D2511"/>
          <w:p w:rsidR="007A0528" w:rsidRPr="004C1D84" w:rsidRDefault="007A0528" w:rsidP="002D2511"/>
          <w:p w:rsidR="007A0528" w:rsidRPr="004C1D84" w:rsidRDefault="007A0528" w:rsidP="002D2511"/>
          <w:p w:rsidR="007A0528" w:rsidRPr="004C1D84" w:rsidRDefault="007A0528" w:rsidP="002D2511"/>
          <w:p w:rsidR="007A0528" w:rsidRPr="004C1D84" w:rsidRDefault="007A0528" w:rsidP="002D2511"/>
        </w:tc>
        <w:tc>
          <w:tcPr>
            <w:tcW w:w="1530" w:type="dxa"/>
          </w:tcPr>
          <w:p w:rsidR="007A0528" w:rsidRPr="004C1D84" w:rsidRDefault="007A0528" w:rsidP="002D2511">
            <w:r w:rsidRPr="004C1D84">
              <w:lastRenderedPageBreak/>
              <w:t xml:space="preserve">Som over </w:t>
            </w:r>
          </w:p>
        </w:tc>
        <w:tc>
          <w:tcPr>
            <w:tcW w:w="1446" w:type="dxa"/>
          </w:tcPr>
          <w:p w:rsidR="007A0528" w:rsidRPr="004C1D84" w:rsidRDefault="007A0528" w:rsidP="002D2511">
            <w:pPr>
              <w:rPr>
                <w:lang w:val="nn-NO"/>
              </w:rPr>
            </w:pPr>
            <w:r w:rsidRPr="004C1D84">
              <w:rPr>
                <w:lang w:val="nn-NO"/>
              </w:rPr>
              <w:t>Personal-polit</w:t>
            </w:r>
            <w:r w:rsidR="00D02763">
              <w:rPr>
                <w:lang w:val="nn-NO"/>
              </w:rPr>
              <w:t>ikk</w:t>
            </w:r>
            <w:r w:rsidR="00477933">
              <w:rPr>
                <w:lang w:val="nn-NO"/>
              </w:rPr>
              <w:t>e</w:t>
            </w:r>
            <w:r w:rsidRPr="004C1D84">
              <w:rPr>
                <w:lang w:val="nn-NO"/>
              </w:rPr>
              <w:t>n.</w:t>
            </w:r>
          </w:p>
          <w:p w:rsidR="007A0528" w:rsidRPr="004C1D84" w:rsidRDefault="007A0528" w:rsidP="002D2511">
            <w:pPr>
              <w:rPr>
                <w:lang w:val="nn-NO"/>
              </w:rPr>
            </w:pPr>
            <w:r w:rsidRPr="004C1D84">
              <w:rPr>
                <w:lang w:val="nn-NO"/>
              </w:rPr>
              <w:t>Tilpassings-avtale</w:t>
            </w:r>
            <w:r w:rsidR="00D02763">
              <w:rPr>
                <w:lang w:val="nn-NO"/>
              </w:rPr>
              <w:t>n. Regjeringa</w:t>
            </w:r>
            <w:r w:rsidRPr="004C1D84">
              <w:rPr>
                <w:lang w:val="nn-NO"/>
              </w:rPr>
              <w:t xml:space="preserve"> </w:t>
            </w:r>
            <w:r w:rsidR="00D02763">
              <w:rPr>
                <w:lang w:val="nn-NO"/>
              </w:rPr>
              <w:lastRenderedPageBreak/>
              <w:t xml:space="preserve">sin </w:t>
            </w:r>
            <w:r w:rsidRPr="004C1D84">
              <w:rPr>
                <w:lang w:val="nn-NO"/>
              </w:rPr>
              <w:t>inkluderings-dugnad</w:t>
            </w:r>
          </w:p>
        </w:tc>
        <w:tc>
          <w:tcPr>
            <w:tcW w:w="1247" w:type="dxa"/>
          </w:tcPr>
          <w:p w:rsidR="007A0528" w:rsidRPr="004C1D84" w:rsidRDefault="007A0528" w:rsidP="002D2511">
            <w:pPr>
              <w:rPr>
                <w:lang w:val="nn-NO"/>
              </w:rPr>
            </w:pPr>
          </w:p>
        </w:tc>
        <w:tc>
          <w:tcPr>
            <w:tcW w:w="1305" w:type="dxa"/>
          </w:tcPr>
          <w:p w:rsidR="007A0528" w:rsidRPr="004C1D84" w:rsidRDefault="007A0528" w:rsidP="002D2511">
            <w:r w:rsidRPr="004C1D84">
              <w:t>Ja</w:t>
            </w:r>
          </w:p>
        </w:tc>
        <w:tc>
          <w:tcPr>
            <w:tcW w:w="1389" w:type="dxa"/>
          </w:tcPr>
          <w:p w:rsidR="007A0528" w:rsidRPr="004C1D84" w:rsidRDefault="007A0528" w:rsidP="002D2511">
            <w:r w:rsidRPr="004C1D84">
              <w:t>HR og drifts-avdelinga</w:t>
            </w:r>
          </w:p>
        </w:tc>
        <w:tc>
          <w:tcPr>
            <w:tcW w:w="1407" w:type="dxa"/>
          </w:tcPr>
          <w:p w:rsidR="007A0528" w:rsidRPr="004C1D84" w:rsidRDefault="007A0528" w:rsidP="002D2511">
            <w:r w:rsidRPr="004C1D84">
              <w:t>Inga kartlegging gjort i 2019</w:t>
            </w:r>
          </w:p>
          <w:p w:rsidR="007A0528" w:rsidRPr="004C1D84" w:rsidRDefault="007A0528" w:rsidP="002D2511"/>
          <w:p w:rsidR="007A0528" w:rsidRPr="004C1D84" w:rsidRDefault="007A0528" w:rsidP="002D2511"/>
          <w:p w:rsidR="007A0528" w:rsidRPr="004C1D84" w:rsidRDefault="007A0528" w:rsidP="002D2511"/>
          <w:p w:rsidR="007A0528" w:rsidRPr="004C1D84" w:rsidRDefault="007A0528" w:rsidP="002D2511"/>
        </w:tc>
      </w:tr>
      <w:tr w:rsidR="007A0528" w:rsidRPr="004C1D84" w:rsidTr="002D2511">
        <w:tc>
          <w:tcPr>
            <w:tcW w:w="10168" w:type="dxa"/>
            <w:gridSpan w:val="7"/>
          </w:tcPr>
          <w:p w:rsidR="007A0528" w:rsidRPr="004C1D84" w:rsidRDefault="007A0528" w:rsidP="002D2511">
            <w:pPr>
              <w:rPr>
                <w:b/>
              </w:rPr>
            </w:pPr>
            <w:r w:rsidRPr="004C1D84">
              <w:rPr>
                <w:b/>
              </w:rPr>
              <w:lastRenderedPageBreak/>
              <w:t>Område – likeløn</w:t>
            </w:r>
            <w:r w:rsidR="009A40AD">
              <w:rPr>
                <w:b/>
              </w:rPr>
              <w:t>n</w:t>
            </w:r>
          </w:p>
        </w:tc>
      </w:tr>
      <w:tr w:rsidR="007A0528" w:rsidRPr="004C1D84" w:rsidTr="002D2511">
        <w:tc>
          <w:tcPr>
            <w:tcW w:w="1844" w:type="dxa"/>
          </w:tcPr>
          <w:p w:rsidR="007A0528" w:rsidRPr="004C1D84" w:rsidRDefault="007A0528" w:rsidP="002D2511">
            <w:r w:rsidRPr="004C1D84">
              <w:t>Mål</w:t>
            </w:r>
          </w:p>
        </w:tc>
        <w:tc>
          <w:tcPr>
            <w:tcW w:w="1530" w:type="dxa"/>
          </w:tcPr>
          <w:p w:rsidR="007A0528" w:rsidRPr="004C1D84" w:rsidRDefault="007A0528" w:rsidP="002D2511">
            <w:r w:rsidRPr="004C1D84">
              <w:t>Tiltak</w:t>
            </w:r>
          </w:p>
        </w:tc>
        <w:tc>
          <w:tcPr>
            <w:tcW w:w="1446" w:type="dxa"/>
          </w:tcPr>
          <w:p w:rsidR="007A0528" w:rsidRPr="004C1D84" w:rsidRDefault="007A0528" w:rsidP="002D2511">
            <w:r w:rsidRPr="004C1D84">
              <w:t>Forankring</w:t>
            </w:r>
          </w:p>
        </w:tc>
        <w:tc>
          <w:tcPr>
            <w:tcW w:w="1247" w:type="dxa"/>
          </w:tcPr>
          <w:p w:rsidR="007A0528" w:rsidRPr="004C1D84" w:rsidRDefault="007A0528" w:rsidP="002D2511">
            <w:r w:rsidRPr="004C1D84">
              <w:t>Status</w:t>
            </w:r>
          </w:p>
        </w:tc>
        <w:tc>
          <w:tcPr>
            <w:tcW w:w="1305" w:type="dxa"/>
          </w:tcPr>
          <w:p w:rsidR="007A0528" w:rsidRPr="004C1D84" w:rsidRDefault="007A0528" w:rsidP="002D2511">
            <w:r w:rsidRPr="004C1D84">
              <w:t>Gjennom-ført</w:t>
            </w:r>
            <w:r w:rsidRPr="004C1D84">
              <w:br/>
              <w:t>Ja/delvis/nei</w:t>
            </w:r>
          </w:p>
        </w:tc>
        <w:tc>
          <w:tcPr>
            <w:tcW w:w="1389" w:type="dxa"/>
          </w:tcPr>
          <w:p w:rsidR="007A0528" w:rsidRPr="004C1D84" w:rsidRDefault="007A0528" w:rsidP="002D2511">
            <w:r w:rsidRPr="004C1D84">
              <w:t>Ansvarleg i LDO</w:t>
            </w:r>
          </w:p>
        </w:tc>
        <w:tc>
          <w:tcPr>
            <w:tcW w:w="1407" w:type="dxa"/>
          </w:tcPr>
          <w:p w:rsidR="007A0528" w:rsidRPr="004C1D84" w:rsidRDefault="007A0528" w:rsidP="002D2511">
            <w:r w:rsidRPr="004C1D84">
              <w:t>Resultat per 2019</w:t>
            </w:r>
          </w:p>
        </w:tc>
      </w:tr>
      <w:tr w:rsidR="007A0528" w:rsidRPr="007B0BDF" w:rsidTr="002D2511">
        <w:tc>
          <w:tcPr>
            <w:tcW w:w="1844" w:type="dxa"/>
          </w:tcPr>
          <w:p w:rsidR="007A0528" w:rsidRPr="004C1D84" w:rsidRDefault="007A0528" w:rsidP="002D2511">
            <w:r w:rsidRPr="004C1D84">
              <w:t>Lik løn</w:t>
            </w:r>
            <w:r w:rsidR="009A40AD">
              <w:t>n</w:t>
            </w:r>
            <w:r w:rsidRPr="004C1D84">
              <w:t xml:space="preserve"> for arbeid av lik verdi</w:t>
            </w:r>
          </w:p>
        </w:tc>
        <w:tc>
          <w:tcPr>
            <w:tcW w:w="1530" w:type="dxa"/>
          </w:tcPr>
          <w:p w:rsidR="007A0528" w:rsidRDefault="007A0528" w:rsidP="002D2511">
            <w:pPr>
              <w:rPr>
                <w:lang w:val="nn-NO"/>
              </w:rPr>
            </w:pPr>
            <w:r w:rsidRPr="004C1D84">
              <w:rPr>
                <w:lang w:val="nn-NO"/>
              </w:rPr>
              <w:t>Diverse løn</w:t>
            </w:r>
            <w:r w:rsidR="009A40AD">
              <w:rPr>
                <w:lang w:val="nn-NO"/>
              </w:rPr>
              <w:t>n</w:t>
            </w:r>
            <w:r w:rsidRPr="004C1D84">
              <w:rPr>
                <w:lang w:val="nn-NO"/>
              </w:rPr>
              <w:t>s-statistikk og for-handlingar etter HTA pkt. 2.5.1 og 2.5.2. og 2.5.3.</w:t>
            </w:r>
          </w:p>
          <w:p w:rsidR="007B0BDF" w:rsidRPr="004C1D84" w:rsidRDefault="007B0BDF" w:rsidP="007B0BDF">
            <w:pPr>
              <w:rPr>
                <w:lang w:val="nn-NO"/>
              </w:rPr>
            </w:pPr>
          </w:p>
        </w:tc>
        <w:tc>
          <w:tcPr>
            <w:tcW w:w="1446" w:type="dxa"/>
          </w:tcPr>
          <w:p w:rsidR="007A0528" w:rsidRPr="004C1D84" w:rsidRDefault="007A0528" w:rsidP="002D2511">
            <w:r w:rsidRPr="004C1D84">
              <w:t>Likestillings- og diskrimineringsloven § 34</w:t>
            </w:r>
          </w:p>
          <w:p w:rsidR="007A0528" w:rsidRPr="004C1D84" w:rsidRDefault="007A0528" w:rsidP="002D2511"/>
          <w:p w:rsidR="007A0528" w:rsidRPr="004C1D84" w:rsidRDefault="007A0528" w:rsidP="002D2511"/>
          <w:p w:rsidR="007A0528" w:rsidRPr="004C1D84" w:rsidRDefault="007A0528" w:rsidP="002D2511"/>
          <w:p w:rsidR="007A0528" w:rsidRPr="004C1D84" w:rsidRDefault="007A0528" w:rsidP="002D2511"/>
          <w:p w:rsidR="007A0528" w:rsidRPr="004C1D84" w:rsidRDefault="007A0528" w:rsidP="002D2511"/>
        </w:tc>
        <w:tc>
          <w:tcPr>
            <w:tcW w:w="1247" w:type="dxa"/>
          </w:tcPr>
          <w:p w:rsidR="007A0528" w:rsidRPr="004C1D84" w:rsidRDefault="007A0528" w:rsidP="002D2511">
            <w:r w:rsidRPr="004C1D84">
              <w:t>Løpande</w:t>
            </w:r>
          </w:p>
        </w:tc>
        <w:tc>
          <w:tcPr>
            <w:tcW w:w="1305" w:type="dxa"/>
          </w:tcPr>
          <w:p w:rsidR="007A0528" w:rsidRPr="004C1D84" w:rsidRDefault="007A0528" w:rsidP="002D2511">
            <w:r w:rsidRPr="004C1D84">
              <w:t>Delvis</w:t>
            </w:r>
          </w:p>
        </w:tc>
        <w:tc>
          <w:tcPr>
            <w:tcW w:w="1389" w:type="dxa"/>
          </w:tcPr>
          <w:p w:rsidR="007A0528" w:rsidRPr="004C1D84" w:rsidRDefault="007B0BDF" w:rsidP="002D2511">
            <w:r>
              <w:t>Leiargruppa</w:t>
            </w:r>
          </w:p>
        </w:tc>
        <w:tc>
          <w:tcPr>
            <w:tcW w:w="1407" w:type="dxa"/>
          </w:tcPr>
          <w:p w:rsidR="007A0528" w:rsidRPr="004C1D84" w:rsidRDefault="007A0528" w:rsidP="002D2511">
            <w:pPr>
              <w:rPr>
                <w:lang w:val="nn-NO"/>
              </w:rPr>
            </w:pPr>
            <w:r w:rsidRPr="004C1D84">
              <w:rPr>
                <w:lang w:val="nn-NO"/>
              </w:rPr>
              <w:t>På LDO-nivå er kvinner no høgare løn</w:t>
            </w:r>
            <w:r w:rsidR="006549A8">
              <w:rPr>
                <w:lang w:val="nn-NO"/>
              </w:rPr>
              <w:t>n</w:t>
            </w:r>
            <w:r w:rsidRPr="004C1D84">
              <w:rPr>
                <w:lang w:val="nn-NO"/>
              </w:rPr>
              <w:t xml:space="preserve">a enn menn. I 2018 var det motsatt.  </w:t>
            </w:r>
          </w:p>
        </w:tc>
      </w:tr>
      <w:tr w:rsidR="007A0528" w:rsidRPr="001D0BDE" w:rsidTr="002D2511">
        <w:tc>
          <w:tcPr>
            <w:tcW w:w="1844" w:type="dxa"/>
          </w:tcPr>
          <w:p w:rsidR="007A0528" w:rsidRPr="004C1D84" w:rsidRDefault="007A0528" w:rsidP="002D2511">
            <w:r w:rsidRPr="004C1D84">
              <w:t>Lik snittløn</w:t>
            </w:r>
            <w:r w:rsidR="00D1731D">
              <w:t>n</w:t>
            </w:r>
            <w:r w:rsidRPr="004C1D84">
              <w:t xml:space="preserve"> etter kjønn på alle stillings-kategoriar</w:t>
            </w:r>
          </w:p>
        </w:tc>
        <w:tc>
          <w:tcPr>
            <w:tcW w:w="1530" w:type="dxa"/>
          </w:tcPr>
          <w:p w:rsidR="007A0528" w:rsidRPr="004C1D84" w:rsidRDefault="007A0528" w:rsidP="002D2511">
            <w:r w:rsidRPr="004C1D84">
              <w:t>Som over</w:t>
            </w:r>
          </w:p>
        </w:tc>
        <w:tc>
          <w:tcPr>
            <w:tcW w:w="1446" w:type="dxa"/>
          </w:tcPr>
          <w:p w:rsidR="007A0528" w:rsidRPr="004C1D84" w:rsidRDefault="007A0528" w:rsidP="002D2511">
            <w:r w:rsidRPr="004C1D84">
              <w:t>Lokal løn</w:t>
            </w:r>
            <w:r w:rsidR="00D1731D">
              <w:t>n</w:t>
            </w:r>
            <w:r w:rsidRPr="004C1D84">
              <w:t>s-politikk, føringar i HTA o.a.</w:t>
            </w:r>
          </w:p>
        </w:tc>
        <w:tc>
          <w:tcPr>
            <w:tcW w:w="1247" w:type="dxa"/>
          </w:tcPr>
          <w:p w:rsidR="007A0528" w:rsidRPr="004C1D84" w:rsidRDefault="007A0528" w:rsidP="002D2511">
            <w:r w:rsidRPr="004C1D84">
              <w:t>Løpande</w:t>
            </w:r>
          </w:p>
        </w:tc>
        <w:tc>
          <w:tcPr>
            <w:tcW w:w="1305" w:type="dxa"/>
          </w:tcPr>
          <w:p w:rsidR="007A0528" w:rsidRPr="004C1D84" w:rsidRDefault="007A0528" w:rsidP="002D2511">
            <w:r w:rsidRPr="004C1D84">
              <w:t>Delvis</w:t>
            </w:r>
          </w:p>
        </w:tc>
        <w:tc>
          <w:tcPr>
            <w:tcW w:w="1389" w:type="dxa"/>
          </w:tcPr>
          <w:p w:rsidR="007A0528" w:rsidRPr="004C1D84" w:rsidRDefault="007A0528" w:rsidP="00AA25F5">
            <w:r w:rsidRPr="004C1D84">
              <w:t>L</w:t>
            </w:r>
            <w:r w:rsidR="00AA25F5">
              <w:t>eiargruppa</w:t>
            </w:r>
          </w:p>
        </w:tc>
        <w:tc>
          <w:tcPr>
            <w:tcW w:w="1407" w:type="dxa"/>
          </w:tcPr>
          <w:p w:rsidR="007A0528" w:rsidRPr="004C1D84" w:rsidRDefault="007A0528" w:rsidP="002D2511">
            <w:pPr>
              <w:rPr>
                <w:lang w:val="nn-NO"/>
              </w:rPr>
            </w:pPr>
            <w:r w:rsidRPr="004C1D84">
              <w:rPr>
                <w:lang w:val="nn-NO"/>
              </w:rPr>
              <w:t>Ordinære 2.5.1- forhand-lingar i 2019:</w:t>
            </w:r>
            <w:r w:rsidRPr="004C1D84">
              <w:rPr>
                <w:lang w:val="nn-NO"/>
              </w:rPr>
              <w:br/>
              <w:t>Løn</w:t>
            </w:r>
            <w:r w:rsidR="00D1731D">
              <w:rPr>
                <w:lang w:val="nn-NO"/>
              </w:rPr>
              <w:t>n</w:t>
            </w:r>
            <w:r w:rsidRPr="004C1D84">
              <w:rPr>
                <w:lang w:val="nn-NO"/>
              </w:rPr>
              <w:t>s-opprykk:  13 K og     4 M.</w:t>
            </w:r>
          </w:p>
          <w:p w:rsidR="007A0528" w:rsidRPr="004C1D84" w:rsidRDefault="007A0528" w:rsidP="002D2511">
            <w:pPr>
              <w:rPr>
                <w:lang w:val="nn-NO"/>
              </w:rPr>
            </w:pPr>
          </w:p>
          <w:p w:rsidR="007A0528" w:rsidRPr="004C1D84" w:rsidRDefault="007A0528" w:rsidP="002D2511">
            <w:pPr>
              <w:rPr>
                <w:lang w:val="nn-NO"/>
              </w:rPr>
            </w:pPr>
          </w:p>
        </w:tc>
      </w:tr>
      <w:tr w:rsidR="007A0528" w:rsidRPr="004C1D84" w:rsidTr="002D2511">
        <w:tc>
          <w:tcPr>
            <w:tcW w:w="10168" w:type="dxa"/>
            <w:gridSpan w:val="7"/>
          </w:tcPr>
          <w:p w:rsidR="007A0528" w:rsidRPr="004C1D84" w:rsidRDefault="007A0528" w:rsidP="002D2511">
            <w:pPr>
              <w:rPr>
                <w:b/>
              </w:rPr>
            </w:pPr>
            <w:r w:rsidRPr="004C1D84">
              <w:rPr>
                <w:b/>
              </w:rPr>
              <w:t>Område – tilretteleggjing</w:t>
            </w:r>
          </w:p>
        </w:tc>
      </w:tr>
      <w:tr w:rsidR="007A0528" w:rsidRPr="004C1D84" w:rsidTr="002D2511">
        <w:tc>
          <w:tcPr>
            <w:tcW w:w="1844" w:type="dxa"/>
          </w:tcPr>
          <w:p w:rsidR="007A0528" w:rsidRPr="004C1D84" w:rsidRDefault="007A0528" w:rsidP="002D2511">
            <w:r w:rsidRPr="004C1D84">
              <w:t>Mål</w:t>
            </w:r>
          </w:p>
        </w:tc>
        <w:tc>
          <w:tcPr>
            <w:tcW w:w="1530" w:type="dxa"/>
          </w:tcPr>
          <w:p w:rsidR="007A0528" w:rsidRPr="004C1D84" w:rsidRDefault="007A0528" w:rsidP="002D2511">
            <w:r w:rsidRPr="004C1D84">
              <w:t>Tiltak</w:t>
            </w:r>
          </w:p>
        </w:tc>
        <w:tc>
          <w:tcPr>
            <w:tcW w:w="1446" w:type="dxa"/>
          </w:tcPr>
          <w:p w:rsidR="007A0528" w:rsidRPr="004C1D84" w:rsidRDefault="007A0528" w:rsidP="002D2511">
            <w:r w:rsidRPr="004C1D84">
              <w:t>Forankring</w:t>
            </w:r>
          </w:p>
        </w:tc>
        <w:tc>
          <w:tcPr>
            <w:tcW w:w="1247" w:type="dxa"/>
          </w:tcPr>
          <w:p w:rsidR="007A0528" w:rsidRPr="004C1D84" w:rsidRDefault="007A0528" w:rsidP="002D2511">
            <w:r w:rsidRPr="004C1D84">
              <w:t>Status</w:t>
            </w:r>
          </w:p>
        </w:tc>
        <w:tc>
          <w:tcPr>
            <w:tcW w:w="1305" w:type="dxa"/>
          </w:tcPr>
          <w:p w:rsidR="007A0528" w:rsidRPr="004C1D84" w:rsidRDefault="007A0528" w:rsidP="002D2511">
            <w:r w:rsidRPr="004C1D84">
              <w:t>Gjennom-ført</w:t>
            </w:r>
          </w:p>
          <w:p w:rsidR="007A0528" w:rsidRPr="004C1D84" w:rsidRDefault="007A0528" w:rsidP="002D2511">
            <w:r w:rsidRPr="004C1D84">
              <w:t>Ja/delvis/nei</w:t>
            </w:r>
          </w:p>
        </w:tc>
        <w:tc>
          <w:tcPr>
            <w:tcW w:w="1389" w:type="dxa"/>
          </w:tcPr>
          <w:p w:rsidR="007A0528" w:rsidRPr="004C1D84" w:rsidRDefault="007A0528" w:rsidP="002D2511">
            <w:r w:rsidRPr="004C1D84">
              <w:t>Ansvarleg i LDO</w:t>
            </w:r>
          </w:p>
        </w:tc>
        <w:tc>
          <w:tcPr>
            <w:tcW w:w="1407" w:type="dxa"/>
          </w:tcPr>
          <w:p w:rsidR="007A0528" w:rsidRPr="004C1D84" w:rsidRDefault="007A0528" w:rsidP="002D2511">
            <w:r w:rsidRPr="004C1D84">
              <w:t>Resultat per 2019</w:t>
            </w:r>
          </w:p>
        </w:tc>
      </w:tr>
      <w:tr w:rsidR="007A0528" w:rsidRPr="004C1D84" w:rsidTr="002D2511">
        <w:tc>
          <w:tcPr>
            <w:tcW w:w="1844" w:type="dxa"/>
          </w:tcPr>
          <w:p w:rsidR="007A0528" w:rsidRPr="004C1D84" w:rsidRDefault="007A0528" w:rsidP="002D2511">
            <w:r w:rsidRPr="004C1D84">
              <w:t>Individuelt ønskt deltid</w:t>
            </w:r>
          </w:p>
        </w:tc>
        <w:tc>
          <w:tcPr>
            <w:tcW w:w="1530" w:type="dxa"/>
          </w:tcPr>
          <w:p w:rsidR="007A0528" w:rsidRPr="004C1D84" w:rsidRDefault="007A0528" w:rsidP="00AA25F5">
            <w:pPr>
              <w:rPr>
                <w:lang w:val="nn-NO"/>
              </w:rPr>
            </w:pPr>
            <w:r w:rsidRPr="004C1D84">
              <w:rPr>
                <w:lang w:val="nn-NO"/>
              </w:rPr>
              <w:t>Deltid skal vere mogleg</w:t>
            </w:r>
            <w:r w:rsidR="00AA25F5">
              <w:rPr>
                <w:lang w:val="nn-NO"/>
              </w:rPr>
              <w:t xml:space="preserve"> som eit tiltak </w:t>
            </w:r>
            <w:r w:rsidR="00AA25F5">
              <w:rPr>
                <w:lang w:val="nn-NO"/>
              </w:rPr>
              <w:lastRenderedPageBreak/>
              <w:t>for tilrette-legg</w:t>
            </w:r>
            <w:r w:rsidR="00353F13">
              <w:rPr>
                <w:lang w:val="nn-NO"/>
              </w:rPr>
              <w:t>j</w:t>
            </w:r>
            <w:r w:rsidR="00AA25F5">
              <w:rPr>
                <w:lang w:val="nn-NO"/>
              </w:rPr>
              <w:t>ing.</w:t>
            </w:r>
          </w:p>
        </w:tc>
        <w:tc>
          <w:tcPr>
            <w:tcW w:w="1446" w:type="dxa"/>
          </w:tcPr>
          <w:p w:rsidR="007A0528" w:rsidRPr="004C1D84" w:rsidRDefault="007A0528" w:rsidP="002D2511">
            <w:r w:rsidRPr="004C1D84">
              <w:lastRenderedPageBreak/>
              <w:t>Personal-polit</w:t>
            </w:r>
            <w:r w:rsidR="00477933">
              <w:t>ikkje</w:t>
            </w:r>
            <w:r w:rsidRPr="004C1D84">
              <w:t>n</w:t>
            </w:r>
          </w:p>
        </w:tc>
        <w:tc>
          <w:tcPr>
            <w:tcW w:w="1247" w:type="dxa"/>
          </w:tcPr>
          <w:p w:rsidR="007A0528" w:rsidRPr="004C1D84" w:rsidRDefault="007A0528" w:rsidP="002D2511">
            <w:r w:rsidRPr="004C1D84">
              <w:t>Deltid</w:t>
            </w:r>
          </w:p>
        </w:tc>
        <w:tc>
          <w:tcPr>
            <w:tcW w:w="1305" w:type="dxa"/>
          </w:tcPr>
          <w:p w:rsidR="007A0528" w:rsidRPr="004C1D84" w:rsidRDefault="007A0528" w:rsidP="002D2511">
            <w:r w:rsidRPr="004C1D84">
              <w:t>Ja</w:t>
            </w:r>
          </w:p>
        </w:tc>
        <w:tc>
          <w:tcPr>
            <w:tcW w:w="1389" w:type="dxa"/>
          </w:tcPr>
          <w:p w:rsidR="007A0528" w:rsidRPr="004C1D84" w:rsidRDefault="00AA25F5" w:rsidP="002D2511">
            <w:r>
              <w:t>HR og drifts-avdelinga</w:t>
            </w:r>
          </w:p>
        </w:tc>
        <w:tc>
          <w:tcPr>
            <w:tcW w:w="1407" w:type="dxa"/>
          </w:tcPr>
          <w:p w:rsidR="007A0528" w:rsidRPr="00AF3E31" w:rsidRDefault="007A0528" w:rsidP="002D2511">
            <w:r w:rsidRPr="00AF3E31">
              <w:t xml:space="preserve">Vi hadde ei på deltid i 1. </w:t>
            </w:r>
            <w:r>
              <w:t xml:space="preserve">halvår, </w:t>
            </w:r>
            <w:r w:rsidR="00353F13">
              <w:t xml:space="preserve">Det var </w:t>
            </w:r>
            <w:r w:rsidR="00353F13">
              <w:lastRenderedPageBreak/>
              <w:t>ingen</w:t>
            </w:r>
            <w:r w:rsidRPr="00AF3E31">
              <w:t xml:space="preserve"> tilsette på deltid </w:t>
            </w:r>
            <w:r>
              <w:t>ved utgangen av</w:t>
            </w:r>
            <w:r w:rsidRPr="00AF3E31">
              <w:t xml:space="preserve"> 2019.</w:t>
            </w:r>
          </w:p>
        </w:tc>
      </w:tr>
      <w:tr w:rsidR="007A0528" w:rsidRPr="004C1D84" w:rsidTr="002D2511">
        <w:tc>
          <w:tcPr>
            <w:tcW w:w="1844" w:type="dxa"/>
          </w:tcPr>
          <w:p w:rsidR="007A0528" w:rsidRPr="004C1D84" w:rsidRDefault="007A0528" w:rsidP="002D2511">
            <w:r w:rsidRPr="004C1D84">
              <w:lastRenderedPageBreak/>
              <w:t>Uttak av permisjon</w:t>
            </w:r>
          </w:p>
        </w:tc>
        <w:tc>
          <w:tcPr>
            <w:tcW w:w="1530" w:type="dxa"/>
          </w:tcPr>
          <w:p w:rsidR="007A0528" w:rsidRPr="004C1D84" w:rsidRDefault="007A0528" w:rsidP="002D2511">
            <w:r w:rsidRPr="004C1D84">
              <w:t>Foreldre-permisjon, velferds-permisjon, omsorgs-permisjon</w:t>
            </w:r>
          </w:p>
        </w:tc>
        <w:tc>
          <w:tcPr>
            <w:tcW w:w="1446" w:type="dxa"/>
          </w:tcPr>
          <w:p w:rsidR="007A0528" w:rsidRPr="004C1D84" w:rsidRDefault="007A0528" w:rsidP="002D2511">
            <w:r w:rsidRPr="004C1D84">
              <w:t>Personal-polit</w:t>
            </w:r>
            <w:r w:rsidR="00353F13">
              <w:t>ikk</w:t>
            </w:r>
            <w:r w:rsidR="00477933">
              <w:t>e</w:t>
            </w:r>
            <w:r w:rsidRPr="004C1D84">
              <w:t>n.</w:t>
            </w:r>
          </w:p>
          <w:p w:rsidR="007A0528" w:rsidRPr="004C1D84" w:rsidRDefault="007A0528" w:rsidP="002D2511">
            <w:r w:rsidRPr="004C1D84">
              <w:t>Tilpassings-</w:t>
            </w:r>
          </w:p>
          <w:p w:rsidR="007A0528" w:rsidRPr="004C1D84" w:rsidRDefault="007A0528" w:rsidP="002D2511">
            <w:r w:rsidRPr="004C1D84">
              <w:t>avtalen</w:t>
            </w:r>
          </w:p>
          <w:p w:rsidR="007A0528" w:rsidRPr="004C1D84" w:rsidRDefault="007A0528" w:rsidP="002D2511"/>
        </w:tc>
        <w:tc>
          <w:tcPr>
            <w:tcW w:w="1247" w:type="dxa"/>
          </w:tcPr>
          <w:p w:rsidR="007A0528" w:rsidRPr="004C1D84" w:rsidRDefault="007A0528" w:rsidP="002D2511">
            <w:r w:rsidRPr="004C1D84">
              <w:t>Uttak permisjon</w:t>
            </w:r>
          </w:p>
        </w:tc>
        <w:tc>
          <w:tcPr>
            <w:tcW w:w="1305" w:type="dxa"/>
          </w:tcPr>
          <w:p w:rsidR="007A0528" w:rsidRPr="004C1D84" w:rsidRDefault="007A0528" w:rsidP="002D2511">
            <w:r w:rsidRPr="004C1D84">
              <w:t>Ja</w:t>
            </w:r>
          </w:p>
        </w:tc>
        <w:tc>
          <w:tcPr>
            <w:tcW w:w="1389" w:type="dxa"/>
          </w:tcPr>
          <w:p w:rsidR="007A0528" w:rsidRPr="004C1D84" w:rsidRDefault="00AA25F5" w:rsidP="002D2511">
            <w:r>
              <w:t>HR og drifts-avdelinga</w:t>
            </w:r>
          </w:p>
        </w:tc>
        <w:tc>
          <w:tcPr>
            <w:tcW w:w="1407" w:type="dxa"/>
          </w:tcPr>
          <w:p w:rsidR="007A0528" w:rsidRPr="004C1D84" w:rsidRDefault="007A0528" w:rsidP="002D2511">
            <w:r w:rsidRPr="004C1D84">
              <w:t>Pappaperm i samband med fødsel,  fødsels- og omsorgs-permisjon.</w:t>
            </w:r>
          </w:p>
          <w:p w:rsidR="007A0528" w:rsidRPr="004C1D84" w:rsidRDefault="007A0528" w:rsidP="002D2511">
            <w:r w:rsidRPr="004C1D84">
              <w:t xml:space="preserve">3 K i foreldre-permisjon i 2019. </w:t>
            </w:r>
          </w:p>
        </w:tc>
      </w:tr>
      <w:tr w:rsidR="007A0528" w:rsidRPr="004C1D84" w:rsidTr="002D2511">
        <w:tc>
          <w:tcPr>
            <w:tcW w:w="1844" w:type="dxa"/>
          </w:tcPr>
          <w:p w:rsidR="007A0528" w:rsidRPr="004C1D84" w:rsidRDefault="007A0528" w:rsidP="002D2511">
            <w:r w:rsidRPr="004C1D84">
              <w:t>Individuelt tilretteleggjings-opplegg</w:t>
            </w:r>
          </w:p>
        </w:tc>
        <w:tc>
          <w:tcPr>
            <w:tcW w:w="1530" w:type="dxa"/>
          </w:tcPr>
          <w:p w:rsidR="007A0528" w:rsidRPr="004C1D84" w:rsidRDefault="007A0528" w:rsidP="002D2511">
            <w:r w:rsidRPr="004C1D84">
              <w:t>Etablert intern ordning</w:t>
            </w:r>
          </w:p>
        </w:tc>
        <w:tc>
          <w:tcPr>
            <w:tcW w:w="1446" w:type="dxa"/>
          </w:tcPr>
          <w:p w:rsidR="007A0528" w:rsidRPr="004C1D84" w:rsidRDefault="007A0528" w:rsidP="002D2511">
            <w:r w:rsidRPr="004C1D84">
              <w:t>Avtalt i IDF og AMU 30.12.2010.</w:t>
            </w:r>
          </w:p>
        </w:tc>
        <w:tc>
          <w:tcPr>
            <w:tcW w:w="1247" w:type="dxa"/>
          </w:tcPr>
          <w:p w:rsidR="007A0528" w:rsidRPr="004C1D84" w:rsidRDefault="007A0528" w:rsidP="002D2511">
            <w:r w:rsidRPr="004C1D84">
              <w:t>Individuell tilrette-leggjing</w:t>
            </w:r>
          </w:p>
        </w:tc>
        <w:tc>
          <w:tcPr>
            <w:tcW w:w="1305" w:type="dxa"/>
          </w:tcPr>
          <w:p w:rsidR="007A0528" w:rsidRPr="004C1D84" w:rsidRDefault="007A0528" w:rsidP="002D2511">
            <w:r w:rsidRPr="004C1D84">
              <w:t>Ja</w:t>
            </w:r>
          </w:p>
        </w:tc>
        <w:tc>
          <w:tcPr>
            <w:tcW w:w="1389" w:type="dxa"/>
          </w:tcPr>
          <w:p w:rsidR="007A0528" w:rsidRPr="004C1D84" w:rsidRDefault="007A0528" w:rsidP="002D2511">
            <w:r w:rsidRPr="004C1D84">
              <w:t>Heile LDO</w:t>
            </w:r>
          </w:p>
        </w:tc>
        <w:tc>
          <w:tcPr>
            <w:tcW w:w="1407" w:type="dxa"/>
          </w:tcPr>
          <w:p w:rsidR="007A0528" w:rsidRPr="004C1D84" w:rsidRDefault="007A0528" w:rsidP="002D2511">
            <w:r w:rsidRPr="004C1D84">
              <w:t>Tilrettelagt for med-arbeidarar med individuelle behov</w:t>
            </w:r>
          </w:p>
        </w:tc>
      </w:tr>
      <w:tr w:rsidR="007A0528" w:rsidRPr="004C1D84" w:rsidTr="002D2511">
        <w:tc>
          <w:tcPr>
            <w:tcW w:w="1844" w:type="dxa"/>
          </w:tcPr>
          <w:p w:rsidR="007A0528" w:rsidRPr="004C1D84" w:rsidRDefault="007A0528" w:rsidP="002D2511"/>
        </w:tc>
        <w:tc>
          <w:tcPr>
            <w:tcW w:w="1530" w:type="dxa"/>
          </w:tcPr>
          <w:p w:rsidR="007A0528" w:rsidRPr="004C1D84" w:rsidRDefault="007A0528" w:rsidP="002D2511">
            <w:r w:rsidRPr="004C1D84">
              <w:t>Tilrette-leggjings-samtale ved oppstart i stillinga og seinare i arbeids-forholdet.</w:t>
            </w:r>
          </w:p>
          <w:p w:rsidR="007A0528" w:rsidRPr="004C1D84" w:rsidRDefault="007A0528" w:rsidP="002D2511"/>
          <w:p w:rsidR="007A0528" w:rsidRPr="004C1D84" w:rsidRDefault="007A0528" w:rsidP="002D2511"/>
          <w:p w:rsidR="007A0528" w:rsidRPr="004C1D84" w:rsidRDefault="007A0528" w:rsidP="002D2511"/>
        </w:tc>
        <w:tc>
          <w:tcPr>
            <w:tcW w:w="1446" w:type="dxa"/>
          </w:tcPr>
          <w:p w:rsidR="007A0528" w:rsidRPr="004C1D84" w:rsidRDefault="007A0528" w:rsidP="002D2511"/>
        </w:tc>
        <w:tc>
          <w:tcPr>
            <w:tcW w:w="1247" w:type="dxa"/>
          </w:tcPr>
          <w:p w:rsidR="007A0528" w:rsidRPr="004C1D84" w:rsidRDefault="007A0528" w:rsidP="002D2511"/>
        </w:tc>
        <w:tc>
          <w:tcPr>
            <w:tcW w:w="1305" w:type="dxa"/>
          </w:tcPr>
          <w:p w:rsidR="007A0528" w:rsidRPr="004C1D84" w:rsidRDefault="007A0528" w:rsidP="002D2511">
            <w:r w:rsidRPr="004C1D84">
              <w:t>Ja</w:t>
            </w:r>
          </w:p>
        </w:tc>
        <w:tc>
          <w:tcPr>
            <w:tcW w:w="1389" w:type="dxa"/>
          </w:tcPr>
          <w:p w:rsidR="007A0528" w:rsidRPr="004C1D84" w:rsidRDefault="007A0528" w:rsidP="002D2511">
            <w:r w:rsidRPr="004C1D84">
              <w:t>Heile LDO</w:t>
            </w:r>
          </w:p>
        </w:tc>
        <w:tc>
          <w:tcPr>
            <w:tcW w:w="1407" w:type="dxa"/>
          </w:tcPr>
          <w:p w:rsidR="007A0528" w:rsidRPr="004C1D84" w:rsidRDefault="007A0528" w:rsidP="002D2511">
            <w:pPr>
              <w:rPr>
                <w:lang w:val="nn-NO"/>
              </w:rPr>
            </w:pPr>
          </w:p>
          <w:p w:rsidR="007A0528" w:rsidRPr="004C1D84" w:rsidRDefault="007A0528" w:rsidP="002D2511">
            <w:pPr>
              <w:rPr>
                <w:lang w:val="nn-NO"/>
              </w:rPr>
            </w:pPr>
          </w:p>
        </w:tc>
      </w:tr>
      <w:tr w:rsidR="007A0528" w:rsidRPr="004C1D84" w:rsidTr="002D2511">
        <w:tc>
          <w:tcPr>
            <w:tcW w:w="10168" w:type="dxa"/>
            <w:gridSpan w:val="7"/>
          </w:tcPr>
          <w:p w:rsidR="007A0528" w:rsidRPr="004C1D84" w:rsidRDefault="007A0528" w:rsidP="002D2511">
            <w:pPr>
              <w:rPr>
                <w:b/>
              </w:rPr>
            </w:pPr>
            <w:r w:rsidRPr="004C1D84">
              <w:rPr>
                <w:b/>
              </w:rPr>
              <w:t>Område – seniorpolitikk</w:t>
            </w:r>
          </w:p>
        </w:tc>
      </w:tr>
      <w:tr w:rsidR="007A0528" w:rsidRPr="004C1D84" w:rsidTr="002D2511">
        <w:tc>
          <w:tcPr>
            <w:tcW w:w="1844" w:type="dxa"/>
          </w:tcPr>
          <w:p w:rsidR="007A0528" w:rsidRPr="004C1D84" w:rsidRDefault="007A0528" w:rsidP="002D2511">
            <w:r w:rsidRPr="004C1D84">
              <w:t>Mål</w:t>
            </w:r>
          </w:p>
        </w:tc>
        <w:tc>
          <w:tcPr>
            <w:tcW w:w="1530" w:type="dxa"/>
          </w:tcPr>
          <w:p w:rsidR="007A0528" w:rsidRPr="004C1D84" w:rsidRDefault="007A0528" w:rsidP="002D2511">
            <w:r w:rsidRPr="004C1D84">
              <w:t>Tiltak</w:t>
            </w:r>
          </w:p>
        </w:tc>
        <w:tc>
          <w:tcPr>
            <w:tcW w:w="1446" w:type="dxa"/>
          </w:tcPr>
          <w:p w:rsidR="007A0528" w:rsidRPr="004C1D84" w:rsidRDefault="007A0528" w:rsidP="002D2511">
            <w:r w:rsidRPr="004C1D84">
              <w:t>Forankring</w:t>
            </w:r>
          </w:p>
        </w:tc>
        <w:tc>
          <w:tcPr>
            <w:tcW w:w="1247" w:type="dxa"/>
          </w:tcPr>
          <w:p w:rsidR="007A0528" w:rsidRPr="004C1D84" w:rsidRDefault="007A0528" w:rsidP="002D2511">
            <w:r w:rsidRPr="004C1D84">
              <w:t>Status</w:t>
            </w:r>
          </w:p>
        </w:tc>
        <w:tc>
          <w:tcPr>
            <w:tcW w:w="1305" w:type="dxa"/>
          </w:tcPr>
          <w:p w:rsidR="007A0528" w:rsidRPr="004C1D84" w:rsidRDefault="007A0528" w:rsidP="002D2511">
            <w:r w:rsidRPr="004C1D84">
              <w:t>Gjennom-ført</w:t>
            </w:r>
          </w:p>
          <w:p w:rsidR="007A0528" w:rsidRPr="004C1D84" w:rsidRDefault="007A0528" w:rsidP="002D2511">
            <w:r w:rsidRPr="004C1D84">
              <w:t>Ja/delvis/nei</w:t>
            </w:r>
          </w:p>
        </w:tc>
        <w:tc>
          <w:tcPr>
            <w:tcW w:w="1389" w:type="dxa"/>
          </w:tcPr>
          <w:p w:rsidR="007A0528" w:rsidRPr="004C1D84" w:rsidRDefault="007A0528" w:rsidP="002D2511">
            <w:r w:rsidRPr="004C1D84">
              <w:t>Ansvarleg i LDO</w:t>
            </w:r>
          </w:p>
        </w:tc>
        <w:tc>
          <w:tcPr>
            <w:tcW w:w="1407" w:type="dxa"/>
          </w:tcPr>
          <w:p w:rsidR="007A0528" w:rsidRPr="004C1D84" w:rsidRDefault="007A0528" w:rsidP="002D2511">
            <w:r w:rsidRPr="004C1D84">
              <w:t>Resultat per 2019</w:t>
            </w:r>
          </w:p>
        </w:tc>
      </w:tr>
      <w:tr w:rsidR="007A0528" w:rsidRPr="000D7901" w:rsidTr="002D2511">
        <w:tc>
          <w:tcPr>
            <w:tcW w:w="1844" w:type="dxa"/>
          </w:tcPr>
          <w:p w:rsidR="007A0528" w:rsidRPr="004C1D84" w:rsidRDefault="007A0528" w:rsidP="002D2511">
            <w:pPr>
              <w:rPr>
                <w:lang w:val="nn-NO"/>
              </w:rPr>
            </w:pPr>
            <w:r w:rsidRPr="004C1D84">
              <w:rPr>
                <w:lang w:val="nn-NO"/>
              </w:rPr>
              <w:t xml:space="preserve">Tilsette i senior-sjiktet (55+) tilbys karriere- og kompetanse-utvikling på lik </w:t>
            </w:r>
            <w:r w:rsidRPr="004C1D84">
              <w:rPr>
                <w:lang w:val="nn-NO"/>
              </w:rPr>
              <w:lastRenderedPageBreak/>
              <w:t>linje med yngre medarbeidarar</w:t>
            </w:r>
          </w:p>
        </w:tc>
        <w:tc>
          <w:tcPr>
            <w:tcW w:w="1530" w:type="dxa"/>
          </w:tcPr>
          <w:p w:rsidR="007A0528" w:rsidRPr="004C1D84" w:rsidRDefault="007A0528" w:rsidP="002D2511">
            <w:pPr>
              <w:rPr>
                <w:lang w:val="nn-NO"/>
              </w:rPr>
            </w:pPr>
            <w:r w:rsidRPr="004C1D84">
              <w:rPr>
                <w:lang w:val="nn-NO"/>
              </w:rPr>
              <w:lastRenderedPageBreak/>
              <w:t xml:space="preserve">Senior-perspektivet er ein integrert del av </w:t>
            </w:r>
            <w:r w:rsidRPr="004C1D84">
              <w:rPr>
                <w:lang w:val="nn-NO"/>
              </w:rPr>
              <w:lastRenderedPageBreak/>
              <w:t xml:space="preserve">medarbeidar-samtalane. </w:t>
            </w:r>
          </w:p>
          <w:p w:rsidR="007A0528" w:rsidRPr="004C1D84" w:rsidRDefault="007A0528" w:rsidP="002D2511">
            <w:r w:rsidRPr="004C1D84">
              <w:t>Løn</w:t>
            </w:r>
            <w:r w:rsidR="00B80D7C">
              <w:t>n</w:t>
            </w:r>
            <w:r w:rsidRPr="004C1D84">
              <w:t xml:space="preserve">sfor-handlingar. </w:t>
            </w:r>
          </w:p>
          <w:p w:rsidR="007A0528" w:rsidRPr="004C1D84" w:rsidRDefault="007A0528" w:rsidP="002D2511"/>
        </w:tc>
        <w:tc>
          <w:tcPr>
            <w:tcW w:w="1446" w:type="dxa"/>
          </w:tcPr>
          <w:p w:rsidR="007A0528" w:rsidRPr="004C1D84" w:rsidRDefault="007A0528" w:rsidP="002D2511">
            <w:r w:rsidRPr="004C1D84">
              <w:lastRenderedPageBreak/>
              <w:t>Tilpasnings-avtalen</w:t>
            </w:r>
          </w:p>
        </w:tc>
        <w:tc>
          <w:tcPr>
            <w:tcW w:w="1247" w:type="dxa"/>
          </w:tcPr>
          <w:p w:rsidR="007A0528" w:rsidRPr="004C1D84" w:rsidRDefault="007A0528" w:rsidP="002D2511">
            <w:pPr>
              <w:rPr>
                <w:lang w:val="nn-NO"/>
              </w:rPr>
            </w:pPr>
            <w:r w:rsidRPr="004C1D84">
              <w:rPr>
                <w:lang w:val="nn-NO"/>
              </w:rPr>
              <w:t xml:space="preserve">Seniorar utgjer </w:t>
            </w:r>
            <w:r w:rsidRPr="00BF3048">
              <w:rPr>
                <w:lang w:val="nn-NO"/>
              </w:rPr>
              <w:t xml:space="preserve">23,1 % </w:t>
            </w:r>
            <w:r w:rsidRPr="004C1D84">
              <w:rPr>
                <w:lang w:val="nn-NO"/>
              </w:rPr>
              <w:t>av LDO sine tilsette.</w:t>
            </w:r>
          </w:p>
        </w:tc>
        <w:tc>
          <w:tcPr>
            <w:tcW w:w="1305" w:type="dxa"/>
          </w:tcPr>
          <w:p w:rsidR="007A0528" w:rsidRPr="004C1D84" w:rsidRDefault="007A0528" w:rsidP="002D2511">
            <w:r w:rsidRPr="004C1D84">
              <w:t>Ja</w:t>
            </w:r>
          </w:p>
        </w:tc>
        <w:tc>
          <w:tcPr>
            <w:tcW w:w="1389" w:type="dxa"/>
          </w:tcPr>
          <w:p w:rsidR="007A0528" w:rsidRPr="004C1D84" w:rsidRDefault="007A0528" w:rsidP="002D2511">
            <w:r w:rsidRPr="004C1D84">
              <w:t>Heile LDO</w:t>
            </w:r>
          </w:p>
        </w:tc>
        <w:tc>
          <w:tcPr>
            <w:tcW w:w="1407" w:type="dxa"/>
          </w:tcPr>
          <w:p w:rsidR="007A0528" w:rsidRPr="004C1D84" w:rsidRDefault="007A0528" w:rsidP="002D2511">
            <w:pPr>
              <w:rPr>
                <w:lang w:val="nn-NO"/>
              </w:rPr>
            </w:pPr>
            <w:r w:rsidRPr="004C1D84">
              <w:rPr>
                <w:lang w:val="nn-NO"/>
              </w:rPr>
              <w:t xml:space="preserve">Fast tema i MBS for dei over 55 år. </w:t>
            </w:r>
          </w:p>
        </w:tc>
      </w:tr>
      <w:tr w:rsidR="007A0528" w:rsidRPr="004C1D84" w:rsidTr="002D2511">
        <w:tc>
          <w:tcPr>
            <w:tcW w:w="10168" w:type="dxa"/>
            <w:gridSpan w:val="7"/>
          </w:tcPr>
          <w:p w:rsidR="007A0528" w:rsidRPr="004C1D84" w:rsidRDefault="007A0528" w:rsidP="002D2511">
            <w:pPr>
              <w:rPr>
                <w:b/>
              </w:rPr>
            </w:pPr>
            <w:r w:rsidRPr="004C1D84">
              <w:rPr>
                <w:b/>
              </w:rPr>
              <w:t>Område – Trakassering</w:t>
            </w:r>
          </w:p>
        </w:tc>
      </w:tr>
      <w:tr w:rsidR="007A0528" w:rsidRPr="004C1D84" w:rsidTr="002D2511">
        <w:tc>
          <w:tcPr>
            <w:tcW w:w="1844" w:type="dxa"/>
          </w:tcPr>
          <w:p w:rsidR="007A0528" w:rsidRPr="004C1D84" w:rsidRDefault="007A0528" w:rsidP="002D2511">
            <w:r w:rsidRPr="004C1D84">
              <w:t>Mål</w:t>
            </w:r>
          </w:p>
        </w:tc>
        <w:tc>
          <w:tcPr>
            <w:tcW w:w="1530" w:type="dxa"/>
          </w:tcPr>
          <w:p w:rsidR="007A0528" w:rsidRPr="004C1D84" w:rsidRDefault="007A0528" w:rsidP="002D2511">
            <w:r w:rsidRPr="004C1D84">
              <w:t>Tiltak</w:t>
            </w:r>
          </w:p>
        </w:tc>
        <w:tc>
          <w:tcPr>
            <w:tcW w:w="1446" w:type="dxa"/>
          </w:tcPr>
          <w:p w:rsidR="007A0528" w:rsidRPr="004C1D84" w:rsidRDefault="007A0528" w:rsidP="002D2511">
            <w:r w:rsidRPr="004C1D84">
              <w:t>Forankring</w:t>
            </w:r>
          </w:p>
        </w:tc>
        <w:tc>
          <w:tcPr>
            <w:tcW w:w="1247" w:type="dxa"/>
          </w:tcPr>
          <w:p w:rsidR="007A0528" w:rsidRPr="004C1D84" w:rsidRDefault="007A0528" w:rsidP="002D2511">
            <w:r w:rsidRPr="004C1D84">
              <w:t>Status</w:t>
            </w:r>
          </w:p>
        </w:tc>
        <w:tc>
          <w:tcPr>
            <w:tcW w:w="1305" w:type="dxa"/>
          </w:tcPr>
          <w:p w:rsidR="007A0528" w:rsidRPr="004C1D84" w:rsidRDefault="007A0528" w:rsidP="002D2511">
            <w:r w:rsidRPr="004C1D84">
              <w:t>Gjennom-ført</w:t>
            </w:r>
          </w:p>
          <w:p w:rsidR="007A0528" w:rsidRPr="004C1D84" w:rsidRDefault="007A0528" w:rsidP="002D2511">
            <w:r w:rsidRPr="004C1D84">
              <w:t>Ja/delvis/nei</w:t>
            </w:r>
          </w:p>
        </w:tc>
        <w:tc>
          <w:tcPr>
            <w:tcW w:w="1389" w:type="dxa"/>
          </w:tcPr>
          <w:p w:rsidR="007A0528" w:rsidRPr="004C1D84" w:rsidRDefault="007A0528" w:rsidP="002D2511">
            <w:r w:rsidRPr="004C1D84">
              <w:t>Ansvarleg i LDO</w:t>
            </w:r>
          </w:p>
        </w:tc>
        <w:tc>
          <w:tcPr>
            <w:tcW w:w="1407" w:type="dxa"/>
          </w:tcPr>
          <w:p w:rsidR="007A0528" w:rsidRPr="004C1D84" w:rsidRDefault="007A0528" w:rsidP="002D2511">
            <w:r w:rsidRPr="004C1D84">
              <w:t>Resultat per 2019</w:t>
            </w:r>
          </w:p>
        </w:tc>
      </w:tr>
      <w:tr w:rsidR="007A0528" w:rsidRPr="000D7901" w:rsidTr="002D2511">
        <w:tc>
          <w:tcPr>
            <w:tcW w:w="1844" w:type="dxa"/>
          </w:tcPr>
          <w:p w:rsidR="007A0528" w:rsidRPr="004C1D84" w:rsidRDefault="007A0528" w:rsidP="002D2511">
            <w:r w:rsidRPr="004C1D84">
              <w:t>Nulltoleranse for trakassering mobbing og diskriminering</w:t>
            </w:r>
          </w:p>
        </w:tc>
        <w:tc>
          <w:tcPr>
            <w:tcW w:w="1530" w:type="dxa"/>
          </w:tcPr>
          <w:p w:rsidR="007A0528" w:rsidRPr="004C1D84" w:rsidRDefault="007A0528" w:rsidP="002D2511">
            <w:pPr>
              <w:rPr>
                <w:lang w:val="nn-NO"/>
              </w:rPr>
            </w:pPr>
            <w:r w:rsidRPr="004C1D84">
              <w:rPr>
                <w:lang w:val="nn-NO"/>
              </w:rPr>
              <w:t xml:space="preserve">Skriftleg intern rutine for varsling. Inngår som ein del av dei systematiske medarbeidar-samtalene. </w:t>
            </w:r>
          </w:p>
        </w:tc>
        <w:tc>
          <w:tcPr>
            <w:tcW w:w="1446" w:type="dxa"/>
          </w:tcPr>
          <w:p w:rsidR="007A0528" w:rsidRPr="004C1D84" w:rsidRDefault="007A0528" w:rsidP="002D2511">
            <w:r w:rsidRPr="004C1D84">
              <w:t>AML § 13</w:t>
            </w:r>
          </w:p>
          <w:p w:rsidR="007A0528" w:rsidRPr="004C1D84" w:rsidRDefault="007A0528" w:rsidP="002D2511">
            <w:r w:rsidRPr="004C1D84">
              <w:t>Personal-polit</w:t>
            </w:r>
            <w:r w:rsidR="00B80D7C">
              <w:t>ikk</w:t>
            </w:r>
            <w:r w:rsidR="00477933">
              <w:t>e</w:t>
            </w:r>
            <w:r w:rsidRPr="004C1D84">
              <w:t>n o.a.</w:t>
            </w:r>
          </w:p>
        </w:tc>
        <w:tc>
          <w:tcPr>
            <w:tcW w:w="1247" w:type="dxa"/>
          </w:tcPr>
          <w:p w:rsidR="007A0528" w:rsidRPr="004C1D84" w:rsidRDefault="007A0528" w:rsidP="002D2511">
            <w:r w:rsidRPr="004C1D84">
              <w:t>Arbeids-miljø-under-søking i 201</w:t>
            </w:r>
            <w:r w:rsidR="00B80D7C">
              <w:t>7 viste behov for enklare rutina</w:t>
            </w:r>
            <w:r w:rsidRPr="004C1D84">
              <w:t xml:space="preserve">r og meir kunnskap om varsling. </w:t>
            </w:r>
          </w:p>
        </w:tc>
        <w:tc>
          <w:tcPr>
            <w:tcW w:w="1305" w:type="dxa"/>
          </w:tcPr>
          <w:p w:rsidR="007A0528" w:rsidRPr="004C1D84" w:rsidRDefault="007A0528" w:rsidP="002D2511">
            <w:pPr>
              <w:rPr>
                <w:lang w:val="nn-NO"/>
              </w:rPr>
            </w:pPr>
            <w:r w:rsidRPr="004C1D84">
              <w:rPr>
                <w:lang w:val="nn-NO"/>
              </w:rPr>
              <w:t>Ja</w:t>
            </w:r>
          </w:p>
          <w:p w:rsidR="007A0528" w:rsidRPr="004C1D84" w:rsidRDefault="007A0528" w:rsidP="002D2511">
            <w:pPr>
              <w:rPr>
                <w:lang w:val="nn-NO"/>
              </w:rPr>
            </w:pPr>
          </w:p>
          <w:p w:rsidR="007A0528" w:rsidRPr="004C1D84" w:rsidRDefault="007A0528" w:rsidP="002D2511">
            <w:pPr>
              <w:rPr>
                <w:lang w:val="nn-NO"/>
              </w:rPr>
            </w:pPr>
            <w:r w:rsidRPr="004C1D84">
              <w:rPr>
                <w:lang w:val="nn-NO"/>
              </w:rPr>
              <w:t>Ny rutine frå mai 2017.</w:t>
            </w:r>
          </w:p>
        </w:tc>
        <w:tc>
          <w:tcPr>
            <w:tcW w:w="1389" w:type="dxa"/>
          </w:tcPr>
          <w:p w:rsidR="007A0528" w:rsidRPr="004C1D84" w:rsidRDefault="007A0528" w:rsidP="002D2511">
            <w:pPr>
              <w:rPr>
                <w:lang w:val="nn-NO"/>
              </w:rPr>
            </w:pPr>
            <w:r w:rsidRPr="004C1D84">
              <w:rPr>
                <w:lang w:val="nn-NO"/>
              </w:rPr>
              <w:t>Heile LDO, ombod, verne-ombod, tillitsvalde</w:t>
            </w:r>
          </w:p>
        </w:tc>
        <w:tc>
          <w:tcPr>
            <w:tcW w:w="1407" w:type="dxa"/>
          </w:tcPr>
          <w:p w:rsidR="007A0528" w:rsidRPr="004C1D84" w:rsidRDefault="007A0528" w:rsidP="002D2511">
            <w:pPr>
              <w:rPr>
                <w:lang w:val="nn-NO"/>
              </w:rPr>
            </w:pPr>
            <w:r w:rsidRPr="004C1D84">
              <w:rPr>
                <w:lang w:val="nn-NO"/>
              </w:rPr>
              <w:t xml:space="preserve">Har varslings-plakat og rutine for å handtere ei varslings-sak. Auka kunnskap i org. på dette. </w:t>
            </w:r>
          </w:p>
        </w:tc>
      </w:tr>
    </w:tbl>
    <w:p w:rsidR="007A0528" w:rsidRPr="004C1D84" w:rsidRDefault="007A0528" w:rsidP="007A0528">
      <w:pPr>
        <w:rPr>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rPr>
          <w:b/>
          <w:sz w:val="28"/>
          <w:szCs w:val="28"/>
          <w:lang w:val="nn-NO"/>
        </w:rPr>
      </w:pPr>
    </w:p>
    <w:p w:rsidR="007A0528" w:rsidRPr="004C1D84" w:rsidRDefault="007A0528" w:rsidP="007A0528">
      <w:pPr>
        <w:spacing w:before="0" w:after="160" w:line="259" w:lineRule="auto"/>
        <w:rPr>
          <w:rFonts w:asciiTheme="minorHAnsi" w:eastAsiaTheme="minorHAnsi" w:hAnsiTheme="minorHAnsi" w:cstheme="minorBidi"/>
          <w:sz w:val="22"/>
          <w:szCs w:val="22"/>
          <w:lang w:val="nn-NO" w:eastAsia="en-US"/>
        </w:rPr>
      </w:pPr>
    </w:p>
    <w:p w:rsidR="007A0528" w:rsidRDefault="007A0528" w:rsidP="007A0528">
      <w:pPr>
        <w:rPr>
          <w:lang w:val="nn-NO"/>
        </w:rPr>
      </w:pPr>
    </w:p>
    <w:p w:rsidR="007A0528" w:rsidRDefault="007A0528" w:rsidP="007A0528">
      <w:pPr>
        <w:rPr>
          <w:lang w:val="nn-NO"/>
        </w:rPr>
      </w:pPr>
    </w:p>
    <w:p w:rsidR="007A0528" w:rsidRDefault="007A0528" w:rsidP="007A0528">
      <w:pPr>
        <w:rPr>
          <w:lang w:val="nn-NO"/>
        </w:rPr>
      </w:pPr>
    </w:p>
    <w:p w:rsidR="007A0528" w:rsidRDefault="007A0528" w:rsidP="007A0528">
      <w:pPr>
        <w:pStyle w:val="Overskrift1"/>
        <w:numPr>
          <w:ilvl w:val="0"/>
          <w:numId w:val="0"/>
        </w:numPr>
      </w:pPr>
      <w:bookmarkStart w:id="28" w:name="_Toc2771493"/>
      <w:bookmarkStart w:id="29" w:name="_Toc34915963"/>
      <w:r>
        <w:lastRenderedPageBreak/>
        <w:t xml:space="preserve">Kapittel 5 </w:t>
      </w:r>
      <w:r w:rsidRPr="00AD32F7">
        <w:t xml:space="preserve">Vurdering av </w:t>
      </w:r>
      <w:r w:rsidR="00293941">
        <w:t>fra</w:t>
      </w:r>
      <w:r w:rsidRPr="00AD32F7">
        <w:t>mtidsutsikter</w:t>
      </w:r>
      <w:bookmarkEnd w:id="28"/>
      <w:bookmarkEnd w:id="29"/>
      <w:r w:rsidRPr="00AD32F7">
        <w:tab/>
      </w:r>
    </w:p>
    <w:p w:rsidR="00C73241" w:rsidRPr="00C73241" w:rsidRDefault="00C73241" w:rsidP="00C73241">
      <w:pPr>
        <w:rPr>
          <w:lang w:val="nn-NO"/>
        </w:rPr>
      </w:pPr>
    </w:p>
    <w:p w:rsidR="00BF50B2" w:rsidRPr="00AE02D3" w:rsidRDefault="002F03E4" w:rsidP="002F03E4">
      <w:pPr>
        <w:rPr>
          <w:lang w:val="nn-NO"/>
        </w:rPr>
      </w:pPr>
      <w:r w:rsidRPr="002F03E4">
        <w:rPr>
          <w:lang w:val="nn-NO"/>
        </w:rPr>
        <w:t xml:space="preserve">LDO </w:t>
      </w:r>
      <w:r w:rsidR="00293941">
        <w:rPr>
          <w:lang w:val="nn-NO"/>
        </w:rPr>
        <w:t>har no</w:t>
      </w:r>
      <w:r w:rsidR="00CC789A">
        <w:rPr>
          <w:lang w:val="nn-NO"/>
        </w:rPr>
        <w:t xml:space="preserve"> </w:t>
      </w:r>
      <w:r w:rsidR="00293941">
        <w:rPr>
          <w:lang w:val="nn-NO"/>
        </w:rPr>
        <w:t>hatt nytt mandat</w:t>
      </w:r>
      <w:r w:rsidR="00540A20">
        <w:rPr>
          <w:lang w:val="nn-NO"/>
        </w:rPr>
        <w:t xml:space="preserve"> i to år</w:t>
      </w:r>
      <w:r w:rsidR="00CC789A">
        <w:rPr>
          <w:lang w:val="nn-NO"/>
        </w:rPr>
        <w:t xml:space="preserve">, etter å ha </w:t>
      </w:r>
      <w:r w:rsidR="009C28DC">
        <w:rPr>
          <w:lang w:val="nn-NO"/>
        </w:rPr>
        <w:t>vore</w:t>
      </w:r>
      <w:r w:rsidR="00A604E9">
        <w:rPr>
          <w:lang w:val="nn-NO"/>
        </w:rPr>
        <w:t xml:space="preserve"> gjennom </w:t>
      </w:r>
      <w:r w:rsidR="00293941">
        <w:rPr>
          <w:lang w:val="nn-NO"/>
        </w:rPr>
        <w:t>ei</w:t>
      </w:r>
      <w:r w:rsidR="00B57B23">
        <w:rPr>
          <w:lang w:val="nn-NO"/>
        </w:rPr>
        <w:t xml:space="preserve"> </w:t>
      </w:r>
      <w:r w:rsidR="005B413B">
        <w:rPr>
          <w:lang w:val="nn-NO"/>
        </w:rPr>
        <w:t>vesentleg</w:t>
      </w:r>
      <w:r w:rsidR="00CC789A" w:rsidRPr="002F03E4">
        <w:rPr>
          <w:lang w:val="nn-NO"/>
        </w:rPr>
        <w:t xml:space="preserve"> nedbeman</w:t>
      </w:r>
      <w:r w:rsidR="00CC789A">
        <w:rPr>
          <w:lang w:val="nn-NO"/>
        </w:rPr>
        <w:t>ni</w:t>
      </w:r>
      <w:r w:rsidR="00B57B23">
        <w:rPr>
          <w:lang w:val="nn-NO"/>
        </w:rPr>
        <w:t xml:space="preserve">ng og </w:t>
      </w:r>
      <w:r w:rsidR="00CC789A">
        <w:rPr>
          <w:lang w:val="nn-NO"/>
        </w:rPr>
        <w:t xml:space="preserve">omorganisering i 2017. </w:t>
      </w:r>
      <w:r w:rsidR="00E227A0" w:rsidRPr="00AE02D3">
        <w:rPr>
          <w:lang w:val="nn-NO"/>
        </w:rPr>
        <w:t>D</w:t>
      </w:r>
      <w:r w:rsidR="00BF50B2" w:rsidRPr="00AE02D3">
        <w:rPr>
          <w:lang w:val="nn-NO"/>
        </w:rPr>
        <w:t xml:space="preserve">en nye </w:t>
      </w:r>
      <w:r w:rsidR="00CC789A" w:rsidRPr="00AE02D3">
        <w:rPr>
          <w:lang w:val="nn-NO"/>
        </w:rPr>
        <w:t>organisasjonen</w:t>
      </w:r>
      <w:r w:rsidR="00A604E9" w:rsidRPr="00AE02D3">
        <w:rPr>
          <w:lang w:val="nn-NO"/>
        </w:rPr>
        <w:t xml:space="preserve"> har</w:t>
      </w:r>
      <w:r w:rsidR="003A671A" w:rsidRPr="00AE02D3">
        <w:rPr>
          <w:lang w:val="nn-NO"/>
        </w:rPr>
        <w:t xml:space="preserve"> se</w:t>
      </w:r>
      <w:r w:rsidR="00CC789A" w:rsidRPr="00AE02D3">
        <w:rPr>
          <w:lang w:val="nn-NO"/>
        </w:rPr>
        <w:t xml:space="preserve">tt seg </w:t>
      </w:r>
      <w:r w:rsidR="00BF50B2" w:rsidRPr="00AE02D3">
        <w:rPr>
          <w:lang w:val="nn-NO"/>
        </w:rPr>
        <w:t xml:space="preserve">og </w:t>
      </w:r>
      <w:r w:rsidR="009824F7" w:rsidRPr="00AE02D3">
        <w:rPr>
          <w:lang w:val="nn-NO"/>
        </w:rPr>
        <w:t xml:space="preserve">er </w:t>
      </w:r>
      <w:r w:rsidR="00A604E9" w:rsidRPr="00AE02D3">
        <w:rPr>
          <w:lang w:val="nn-NO"/>
        </w:rPr>
        <w:t xml:space="preserve">etter vår vurdering </w:t>
      </w:r>
      <w:r w:rsidR="00474AD9" w:rsidRPr="00AE02D3">
        <w:rPr>
          <w:lang w:val="nn-NO"/>
        </w:rPr>
        <w:t>godt rusta for å løyse</w:t>
      </w:r>
      <w:r w:rsidR="00BF50B2" w:rsidRPr="00AE02D3">
        <w:rPr>
          <w:lang w:val="nn-NO"/>
        </w:rPr>
        <w:t xml:space="preserve"> </w:t>
      </w:r>
      <w:r w:rsidR="00315A3D" w:rsidRPr="00AE02D3">
        <w:rPr>
          <w:lang w:val="nn-NO"/>
        </w:rPr>
        <w:t>de</w:t>
      </w:r>
      <w:r w:rsidR="00474AD9" w:rsidRPr="00AE02D3">
        <w:rPr>
          <w:lang w:val="nn-NO"/>
        </w:rPr>
        <w:t>i</w:t>
      </w:r>
      <w:r w:rsidR="00315A3D" w:rsidRPr="00AE02D3">
        <w:rPr>
          <w:lang w:val="nn-NO"/>
        </w:rPr>
        <w:t xml:space="preserve"> tre </w:t>
      </w:r>
      <w:r w:rsidR="00474AD9" w:rsidRPr="00AE02D3">
        <w:rPr>
          <w:lang w:val="nn-NO"/>
        </w:rPr>
        <w:t>kjerneoppgå</w:t>
      </w:r>
      <w:r w:rsidR="00BF50B2" w:rsidRPr="00AE02D3">
        <w:rPr>
          <w:lang w:val="nn-NO"/>
        </w:rPr>
        <w:t xml:space="preserve">vene </w:t>
      </w:r>
      <w:r w:rsidR="00E84007" w:rsidRPr="00AE02D3">
        <w:rPr>
          <w:lang w:val="nn-NO"/>
        </w:rPr>
        <w:t>etter nytt mandat</w:t>
      </w:r>
      <w:r w:rsidR="00BF50B2" w:rsidRPr="00AE02D3">
        <w:rPr>
          <w:lang w:val="nn-NO"/>
        </w:rPr>
        <w:t xml:space="preserve">: </w:t>
      </w:r>
      <w:r w:rsidR="00474AD9" w:rsidRPr="00AE02D3">
        <w:rPr>
          <w:lang w:val="nn-NO"/>
        </w:rPr>
        <w:t>rettleiingsarbeid, pådriva</w:t>
      </w:r>
      <w:r w:rsidR="00BF50B2" w:rsidRPr="00AE02D3">
        <w:rPr>
          <w:lang w:val="nn-NO"/>
        </w:rPr>
        <w:t>rarbeid og tilsynsarbeid.</w:t>
      </w:r>
    </w:p>
    <w:p w:rsidR="00315A3D" w:rsidRPr="00AE02D3" w:rsidRDefault="00AE6728" w:rsidP="002F03E4">
      <w:pPr>
        <w:rPr>
          <w:lang w:val="nn-NO"/>
        </w:rPr>
      </w:pPr>
      <w:r w:rsidRPr="00AE02D3">
        <w:rPr>
          <w:lang w:val="nn-NO"/>
        </w:rPr>
        <w:t>Frå</w:t>
      </w:r>
      <w:r w:rsidR="00A604E9" w:rsidRPr="00AE02D3">
        <w:rPr>
          <w:lang w:val="nn-NO"/>
        </w:rPr>
        <w:t xml:space="preserve"> 1. januar 2020 har </w:t>
      </w:r>
      <w:r w:rsidR="00255232" w:rsidRPr="00AE02D3">
        <w:rPr>
          <w:lang w:val="nn-NO"/>
        </w:rPr>
        <w:t>ombodet</w:t>
      </w:r>
      <w:r w:rsidR="00A604E9" w:rsidRPr="00AE02D3">
        <w:rPr>
          <w:lang w:val="nn-NO"/>
        </w:rPr>
        <w:t xml:space="preserve"> </w:t>
      </w:r>
      <w:r w:rsidR="00BF50B2" w:rsidRPr="00AE02D3">
        <w:rPr>
          <w:lang w:val="nn-NO"/>
        </w:rPr>
        <w:t xml:space="preserve">fått nye </w:t>
      </w:r>
      <w:r w:rsidR="00A6060D" w:rsidRPr="00AE02D3">
        <w:rPr>
          <w:lang w:val="nn-NO"/>
        </w:rPr>
        <w:t>oppgåver</w:t>
      </w:r>
      <w:r w:rsidR="00303D85" w:rsidRPr="00AE02D3">
        <w:rPr>
          <w:lang w:val="nn-NO"/>
        </w:rPr>
        <w:t xml:space="preserve"> knytt til forsterka</w:t>
      </w:r>
      <w:r w:rsidR="00BF50B2" w:rsidRPr="00AE02D3">
        <w:rPr>
          <w:lang w:val="nn-NO"/>
        </w:rPr>
        <w:t xml:space="preserve"> </w:t>
      </w:r>
      <w:r w:rsidR="00695454" w:rsidRPr="00AE02D3">
        <w:rPr>
          <w:lang w:val="nn-NO"/>
        </w:rPr>
        <w:t>aktivitets- og utgreiings</w:t>
      </w:r>
      <w:r w:rsidR="00BF50B2" w:rsidRPr="00AE02D3">
        <w:rPr>
          <w:lang w:val="nn-NO"/>
        </w:rPr>
        <w:t>plikt</w:t>
      </w:r>
      <w:r w:rsidR="00915F7D" w:rsidRPr="00AE02D3">
        <w:rPr>
          <w:lang w:val="nn-NO"/>
        </w:rPr>
        <w:t xml:space="preserve"> for arbeidsgjevarar</w:t>
      </w:r>
      <w:r w:rsidR="00E227A0" w:rsidRPr="00AE02D3">
        <w:rPr>
          <w:lang w:val="nn-NO"/>
        </w:rPr>
        <w:t xml:space="preserve"> </w:t>
      </w:r>
      <w:r w:rsidR="00915F7D" w:rsidRPr="00AE02D3">
        <w:rPr>
          <w:lang w:val="nn-NO"/>
        </w:rPr>
        <w:t>og offentlege</w:t>
      </w:r>
      <w:r w:rsidR="00970131" w:rsidRPr="00AE02D3">
        <w:rPr>
          <w:lang w:val="nn-NO"/>
        </w:rPr>
        <w:t xml:space="preserve"> styresmakter</w:t>
      </w:r>
      <w:r w:rsidR="00C76E6A" w:rsidRPr="00AE02D3">
        <w:rPr>
          <w:lang w:val="nn-NO"/>
        </w:rPr>
        <w:t>.</w:t>
      </w:r>
      <w:r w:rsidR="00A604E9" w:rsidRPr="00AE02D3">
        <w:rPr>
          <w:lang w:val="nn-NO"/>
        </w:rPr>
        <w:t xml:space="preserve"> </w:t>
      </w:r>
      <w:r w:rsidR="00255232" w:rsidRPr="00AE02D3">
        <w:rPr>
          <w:lang w:val="nn-NO"/>
        </w:rPr>
        <w:t>Ombodet</w:t>
      </w:r>
      <w:r w:rsidR="00FD1736" w:rsidRPr="00AE02D3">
        <w:rPr>
          <w:lang w:val="nn-NO"/>
        </w:rPr>
        <w:t xml:space="preserve"> skal både rettleie</w:t>
      </w:r>
      <w:r w:rsidR="00E227A0" w:rsidRPr="00AE02D3">
        <w:rPr>
          <w:lang w:val="nn-NO"/>
        </w:rPr>
        <w:t xml:space="preserve"> </w:t>
      </w:r>
      <w:r w:rsidR="00A604E9" w:rsidRPr="00AE02D3">
        <w:rPr>
          <w:lang w:val="nn-NO"/>
        </w:rPr>
        <w:t xml:space="preserve">om </w:t>
      </w:r>
      <w:r w:rsidR="00FD1736" w:rsidRPr="00AE02D3">
        <w:rPr>
          <w:lang w:val="nn-NO"/>
        </w:rPr>
        <w:t>innha</w:t>
      </w:r>
      <w:r w:rsidR="00CC758A" w:rsidRPr="00AE02D3">
        <w:rPr>
          <w:lang w:val="nn-NO"/>
        </w:rPr>
        <w:t xml:space="preserve">ldet i </w:t>
      </w:r>
      <w:r w:rsidR="00CA3B09" w:rsidRPr="00AE02D3">
        <w:rPr>
          <w:lang w:val="nn-NO"/>
        </w:rPr>
        <w:t>plikte</w:t>
      </w:r>
      <w:r w:rsidR="00A604E9" w:rsidRPr="00AE02D3">
        <w:rPr>
          <w:lang w:val="nn-NO"/>
        </w:rPr>
        <w:t xml:space="preserve">ne og </w:t>
      </w:r>
      <w:r w:rsidR="00CA3B09" w:rsidRPr="00AE02D3">
        <w:rPr>
          <w:lang w:val="nn-NO"/>
        </w:rPr>
        <w:t>sjå</w:t>
      </w:r>
      <w:r w:rsidR="00A604E9" w:rsidRPr="00AE02D3">
        <w:rPr>
          <w:lang w:val="nn-NO"/>
        </w:rPr>
        <w:t xml:space="preserve"> til at de</w:t>
      </w:r>
      <w:r w:rsidR="00CA3B09" w:rsidRPr="00AE02D3">
        <w:rPr>
          <w:lang w:val="nn-NO"/>
        </w:rPr>
        <w:t>i</w:t>
      </w:r>
      <w:r w:rsidR="00A604E9" w:rsidRPr="00AE02D3">
        <w:rPr>
          <w:lang w:val="nn-NO"/>
        </w:rPr>
        <w:t xml:space="preserve"> </w:t>
      </w:r>
      <w:r w:rsidR="00CC758A" w:rsidRPr="00AE02D3">
        <w:rPr>
          <w:lang w:val="nn-NO"/>
        </w:rPr>
        <w:t xml:space="preserve">faktisk </w:t>
      </w:r>
      <w:r w:rsidR="00CA3B09" w:rsidRPr="00AE02D3">
        <w:rPr>
          <w:lang w:val="nn-NO"/>
        </w:rPr>
        <w:t>blir følgde</w:t>
      </w:r>
      <w:r w:rsidR="00A604E9" w:rsidRPr="00AE02D3">
        <w:rPr>
          <w:lang w:val="nn-NO"/>
        </w:rPr>
        <w:t xml:space="preserve"> opp.</w:t>
      </w:r>
      <w:r w:rsidR="00315A3D" w:rsidRPr="00AE02D3">
        <w:rPr>
          <w:lang w:val="nn-NO"/>
        </w:rPr>
        <w:t xml:space="preserve"> </w:t>
      </w:r>
      <w:r w:rsidR="00CA3B09" w:rsidRPr="00AE02D3">
        <w:rPr>
          <w:lang w:val="nn-NO"/>
        </w:rPr>
        <w:t>Ei hovu</w:t>
      </w:r>
      <w:r w:rsidR="00E227A0" w:rsidRPr="00AE02D3">
        <w:rPr>
          <w:lang w:val="nn-NO"/>
        </w:rPr>
        <w:t xml:space="preserve">dprioritering </w:t>
      </w:r>
      <w:r w:rsidR="00CA3B09" w:rsidRPr="00AE02D3">
        <w:rPr>
          <w:lang w:val="nn-NO"/>
        </w:rPr>
        <w:t>i 2020 blir å lage ein</w:t>
      </w:r>
      <w:r w:rsidR="00A604E9" w:rsidRPr="00AE02D3">
        <w:rPr>
          <w:lang w:val="nn-NO"/>
        </w:rPr>
        <w:t xml:space="preserve"> strategi for dette arbeidet. Vi me</w:t>
      </w:r>
      <w:r w:rsidR="0085233B" w:rsidRPr="00AE02D3">
        <w:rPr>
          <w:lang w:val="nn-NO"/>
        </w:rPr>
        <w:t>iner det er viktig å sjå</w:t>
      </w:r>
      <w:r w:rsidR="00A604E9" w:rsidRPr="00AE02D3">
        <w:rPr>
          <w:lang w:val="nn-NO"/>
        </w:rPr>
        <w:t xml:space="preserve"> ar</w:t>
      </w:r>
      <w:r w:rsidR="0085233B" w:rsidRPr="00AE02D3">
        <w:rPr>
          <w:lang w:val="nn-NO"/>
        </w:rPr>
        <w:t>beidsgjevarars plikter og offentlege</w:t>
      </w:r>
      <w:r w:rsidR="00A604E9" w:rsidRPr="00AE02D3">
        <w:rPr>
          <w:lang w:val="nn-NO"/>
        </w:rPr>
        <w:t xml:space="preserve"> </w:t>
      </w:r>
      <w:r w:rsidR="0085233B" w:rsidRPr="00AE02D3">
        <w:rPr>
          <w:lang w:val="nn-NO"/>
        </w:rPr>
        <w:t>styresmakter sine plikter i samanheng</w:t>
      </w:r>
      <w:r w:rsidR="00A604E9" w:rsidRPr="00AE02D3">
        <w:rPr>
          <w:lang w:val="nn-NO"/>
        </w:rPr>
        <w:t xml:space="preserve">, og </w:t>
      </w:r>
      <w:r w:rsidR="0085233B" w:rsidRPr="00AE02D3">
        <w:rPr>
          <w:lang w:val="nn-NO"/>
        </w:rPr>
        <w:t>legg</w:t>
      </w:r>
      <w:r w:rsidR="00B57B23" w:rsidRPr="00AE02D3">
        <w:rPr>
          <w:lang w:val="nn-NO"/>
        </w:rPr>
        <w:t xml:space="preserve"> opp </w:t>
      </w:r>
      <w:r w:rsidR="00A92B64" w:rsidRPr="00AE02D3">
        <w:rPr>
          <w:lang w:val="nn-NO"/>
        </w:rPr>
        <w:t xml:space="preserve">strategien </w:t>
      </w:r>
      <w:r w:rsidR="00B57B23" w:rsidRPr="00AE02D3">
        <w:rPr>
          <w:lang w:val="nn-NO"/>
        </w:rPr>
        <w:t>med det</w:t>
      </w:r>
      <w:r w:rsidR="00C76E6A" w:rsidRPr="00AE02D3">
        <w:rPr>
          <w:lang w:val="nn-NO"/>
        </w:rPr>
        <w:t>te</w:t>
      </w:r>
      <w:r w:rsidR="00B57B23" w:rsidRPr="00AE02D3">
        <w:rPr>
          <w:lang w:val="nn-NO"/>
        </w:rPr>
        <w:t xml:space="preserve"> som utgangspunkt. </w:t>
      </w:r>
    </w:p>
    <w:p w:rsidR="00315A3D" w:rsidRPr="00AE02D3" w:rsidRDefault="00255232" w:rsidP="002F03E4">
      <w:pPr>
        <w:rPr>
          <w:lang w:val="nn-NO"/>
        </w:rPr>
      </w:pPr>
      <w:r w:rsidRPr="00AE02D3">
        <w:rPr>
          <w:lang w:val="nn-NO"/>
        </w:rPr>
        <w:t>Ombodet</w:t>
      </w:r>
      <w:r w:rsidR="00CD703C" w:rsidRPr="00AE02D3">
        <w:rPr>
          <w:lang w:val="nn-NO"/>
        </w:rPr>
        <w:t xml:space="preserve"> </w:t>
      </w:r>
      <w:r w:rsidR="00062182" w:rsidRPr="00AE02D3">
        <w:rPr>
          <w:lang w:val="nn-NO"/>
        </w:rPr>
        <w:t>har også fått ei utvida</w:t>
      </w:r>
      <w:r w:rsidR="00B57B23" w:rsidRPr="00AE02D3">
        <w:rPr>
          <w:lang w:val="nn-NO"/>
        </w:rPr>
        <w:t xml:space="preserve"> </w:t>
      </w:r>
      <w:r w:rsidR="00062182" w:rsidRPr="00AE02D3">
        <w:rPr>
          <w:lang w:val="nn-NO"/>
        </w:rPr>
        <w:t>rettleiingsplikt når det gjeld</w:t>
      </w:r>
      <w:r w:rsidR="00B57B23" w:rsidRPr="00AE02D3">
        <w:rPr>
          <w:lang w:val="nn-NO"/>
        </w:rPr>
        <w:t xml:space="preserve"> seksuell trakassering, og vil v</w:t>
      </w:r>
      <w:r w:rsidR="00062182" w:rsidRPr="00AE02D3">
        <w:rPr>
          <w:lang w:val="nn-NO"/>
        </w:rPr>
        <w:t>idareutvikle</w:t>
      </w:r>
      <w:r w:rsidR="00B57B23" w:rsidRPr="00AE02D3">
        <w:rPr>
          <w:lang w:val="nn-NO"/>
        </w:rPr>
        <w:t xml:space="preserve"> og styrk</w:t>
      </w:r>
      <w:r w:rsidR="00062182" w:rsidRPr="00AE02D3">
        <w:rPr>
          <w:lang w:val="nn-NO"/>
        </w:rPr>
        <w:t>j</w:t>
      </w:r>
      <w:r w:rsidR="00B57B23" w:rsidRPr="00AE02D3">
        <w:rPr>
          <w:lang w:val="nn-NO"/>
        </w:rPr>
        <w:t xml:space="preserve">e </w:t>
      </w:r>
      <w:r w:rsidR="00CD703C" w:rsidRPr="00AE02D3">
        <w:rPr>
          <w:lang w:val="nn-NO"/>
        </w:rPr>
        <w:t xml:space="preserve">arbeidet </w:t>
      </w:r>
      <w:r w:rsidR="00B57B23" w:rsidRPr="00AE02D3">
        <w:rPr>
          <w:lang w:val="nn-NO"/>
        </w:rPr>
        <w:t>på dette området.</w:t>
      </w:r>
      <w:r w:rsidR="005977BF" w:rsidRPr="00AE02D3">
        <w:rPr>
          <w:lang w:val="nn-NO"/>
        </w:rPr>
        <w:t xml:space="preserve"> </w:t>
      </w:r>
      <w:r w:rsidR="00CD703C" w:rsidRPr="00AE02D3">
        <w:rPr>
          <w:lang w:val="nn-NO"/>
        </w:rPr>
        <w:t xml:space="preserve">Samarbeidet med </w:t>
      </w:r>
      <w:r w:rsidR="00D00481" w:rsidRPr="00AE02D3">
        <w:rPr>
          <w:lang w:val="nn-NO"/>
        </w:rPr>
        <w:t>Arbeidstilsynet og parta</w:t>
      </w:r>
      <w:r w:rsidR="00DD766B" w:rsidRPr="00AE02D3">
        <w:rPr>
          <w:lang w:val="nn-NO"/>
        </w:rPr>
        <w:t>ne i utelivsbransjen</w:t>
      </w:r>
      <w:r w:rsidR="00394BDB" w:rsidRPr="00AE02D3">
        <w:rPr>
          <w:lang w:val="nn-NO"/>
        </w:rPr>
        <w:t xml:space="preserve"> om å fø</w:t>
      </w:r>
      <w:r w:rsidR="00AE40BD" w:rsidRPr="00AE02D3">
        <w:rPr>
          <w:lang w:val="nn-NO"/>
        </w:rPr>
        <w:t>rebygg</w:t>
      </w:r>
      <w:r w:rsidR="00394BDB" w:rsidRPr="00AE02D3">
        <w:rPr>
          <w:lang w:val="nn-NO"/>
        </w:rPr>
        <w:t>j</w:t>
      </w:r>
      <w:r w:rsidR="00AE40BD" w:rsidRPr="00AE02D3">
        <w:rPr>
          <w:lang w:val="nn-NO"/>
        </w:rPr>
        <w:t xml:space="preserve">e </w:t>
      </w:r>
      <w:r w:rsidR="00DD766B" w:rsidRPr="00AE02D3">
        <w:rPr>
          <w:lang w:val="nn-NO"/>
        </w:rPr>
        <w:t>og hindre seksuell trakassering i overnattings- og serveringsbransjen</w:t>
      </w:r>
      <w:r w:rsidR="00394BDB" w:rsidRPr="00AE02D3">
        <w:rPr>
          <w:lang w:val="nn-NO"/>
        </w:rPr>
        <w:t xml:space="preserve"> blir vidareført</w:t>
      </w:r>
      <w:r w:rsidR="00CD703C" w:rsidRPr="00AE02D3">
        <w:rPr>
          <w:lang w:val="nn-NO"/>
        </w:rPr>
        <w:t xml:space="preserve"> i 2020.</w:t>
      </w:r>
    </w:p>
    <w:p w:rsidR="00CC758A" w:rsidRPr="00AE02D3" w:rsidRDefault="00540A20" w:rsidP="002F03E4">
      <w:pPr>
        <w:rPr>
          <w:lang w:val="nn-NO"/>
        </w:rPr>
      </w:pPr>
      <w:r w:rsidRPr="00AE02D3">
        <w:rPr>
          <w:lang w:val="nn-NO"/>
        </w:rPr>
        <w:t>Hove</w:t>
      </w:r>
      <w:r w:rsidR="00FA77BB" w:rsidRPr="00AE02D3">
        <w:rPr>
          <w:lang w:val="nn-NO"/>
        </w:rPr>
        <w:t>dsatsinge</w:t>
      </w:r>
      <w:r w:rsidR="00AE40BD" w:rsidRPr="00AE02D3">
        <w:rPr>
          <w:lang w:val="nn-NO"/>
        </w:rPr>
        <w:t xml:space="preserve">ne for </w:t>
      </w:r>
      <w:r w:rsidR="00255232" w:rsidRPr="00AE02D3">
        <w:rPr>
          <w:lang w:val="nn-NO"/>
        </w:rPr>
        <w:t>ombodet</w:t>
      </w:r>
      <w:r w:rsidR="002F03E4" w:rsidRPr="00AE02D3">
        <w:rPr>
          <w:lang w:val="nn-NO"/>
        </w:rPr>
        <w:t xml:space="preserve"> vil </w:t>
      </w:r>
      <w:r w:rsidR="00C76E6A" w:rsidRPr="00AE02D3">
        <w:rPr>
          <w:lang w:val="nn-NO"/>
        </w:rPr>
        <w:t>f</w:t>
      </w:r>
      <w:r w:rsidR="006B3FA2" w:rsidRPr="00AE02D3">
        <w:rPr>
          <w:lang w:val="nn-NO"/>
        </w:rPr>
        <w:t>ramleis</w:t>
      </w:r>
      <w:r w:rsidR="00C76E6A" w:rsidRPr="00AE02D3">
        <w:rPr>
          <w:lang w:val="nn-NO"/>
        </w:rPr>
        <w:t xml:space="preserve"> </w:t>
      </w:r>
      <w:r w:rsidR="00E57AF3" w:rsidRPr="00AE02D3">
        <w:rPr>
          <w:lang w:val="nn-NO"/>
        </w:rPr>
        <w:t>vere</w:t>
      </w:r>
      <w:r w:rsidR="002F03E4" w:rsidRPr="00AE02D3">
        <w:rPr>
          <w:lang w:val="nn-NO"/>
        </w:rPr>
        <w:t xml:space="preserve"> </w:t>
      </w:r>
      <w:r w:rsidR="00C76E6A" w:rsidRPr="00AE02D3">
        <w:rPr>
          <w:lang w:val="nn-NO"/>
        </w:rPr>
        <w:t>på de</w:t>
      </w:r>
      <w:r w:rsidR="006B3FA2" w:rsidRPr="00AE02D3">
        <w:rPr>
          <w:lang w:val="nn-NO"/>
        </w:rPr>
        <w:t>i</w:t>
      </w:r>
      <w:r w:rsidR="00AE40BD" w:rsidRPr="00AE02D3">
        <w:rPr>
          <w:lang w:val="nn-NO"/>
        </w:rPr>
        <w:t xml:space="preserve"> fem </w:t>
      </w:r>
      <w:r w:rsidR="006B3FA2" w:rsidRPr="00AE02D3">
        <w:rPr>
          <w:lang w:val="nn-NO"/>
        </w:rPr>
        <w:t>områda</w:t>
      </w:r>
      <w:r w:rsidR="002F03E4" w:rsidRPr="00AE02D3">
        <w:rPr>
          <w:lang w:val="nn-NO"/>
        </w:rPr>
        <w:t xml:space="preserve"> </w:t>
      </w:r>
      <w:r w:rsidR="00E57DBA" w:rsidRPr="00AE02D3">
        <w:rPr>
          <w:lang w:val="nn-NO"/>
        </w:rPr>
        <w:t xml:space="preserve">vi </w:t>
      </w:r>
      <w:r w:rsidR="002F03E4" w:rsidRPr="00AE02D3">
        <w:rPr>
          <w:lang w:val="nn-NO"/>
        </w:rPr>
        <w:t>har pe</w:t>
      </w:r>
      <w:r w:rsidR="006B3FA2" w:rsidRPr="00AE02D3">
        <w:rPr>
          <w:lang w:val="nn-NO"/>
        </w:rPr>
        <w:t>i</w:t>
      </w:r>
      <w:r w:rsidR="002F03E4" w:rsidRPr="00AE02D3">
        <w:rPr>
          <w:lang w:val="nn-NO"/>
        </w:rPr>
        <w:t>kt ut</w:t>
      </w:r>
      <w:r w:rsidR="005977BF" w:rsidRPr="00AE02D3">
        <w:rPr>
          <w:lang w:val="nn-NO"/>
        </w:rPr>
        <w:t xml:space="preserve"> </w:t>
      </w:r>
      <w:r w:rsidR="002F03E4" w:rsidRPr="00AE02D3">
        <w:rPr>
          <w:lang w:val="nn-NO"/>
        </w:rPr>
        <w:t xml:space="preserve">i </w:t>
      </w:r>
      <w:r w:rsidR="006B3FA2" w:rsidRPr="00AE02D3">
        <w:rPr>
          <w:lang w:val="nn-NO"/>
        </w:rPr>
        <w:t>den overordna</w:t>
      </w:r>
      <w:r w:rsidR="00AE40BD" w:rsidRPr="00AE02D3">
        <w:rPr>
          <w:lang w:val="nn-NO"/>
        </w:rPr>
        <w:t xml:space="preserve"> strategien </w:t>
      </w:r>
      <w:r w:rsidR="001420AA" w:rsidRPr="00AE02D3">
        <w:rPr>
          <w:lang w:val="nn-NO"/>
        </w:rPr>
        <w:t>som varar</w:t>
      </w:r>
      <w:r w:rsidR="006B3FA2" w:rsidRPr="00AE02D3">
        <w:rPr>
          <w:lang w:val="nn-NO"/>
        </w:rPr>
        <w:t xml:space="preserve"> fra</w:t>
      </w:r>
      <w:r w:rsidR="002F03E4" w:rsidRPr="00AE02D3">
        <w:rPr>
          <w:lang w:val="nn-NO"/>
        </w:rPr>
        <w:t>m til og med 202</w:t>
      </w:r>
      <w:r w:rsidR="00A804AF" w:rsidRPr="00AE02D3">
        <w:rPr>
          <w:lang w:val="nn-NO"/>
        </w:rPr>
        <w:t>2</w:t>
      </w:r>
      <w:r w:rsidR="002F03E4" w:rsidRPr="00AE02D3">
        <w:rPr>
          <w:lang w:val="nn-NO"/>
        </w:rPr>
        <w:t>:</w:t>
      </w:r>
      <w:r w:rsidR="001420AA" w:rsidRPr="00AE02D3">
        <w:rPr>
          <w:lang w:val="nn-NO"/>
        </w:rPr>
        <w:t xml:space="preserve"> arbeidsliv, skule og utdanning, va</w:t>
      </w:r>
      <w:r w:rsidR="002F03E4" w:rsidRPr="00AE02D3">
        <w:rPr>
          <w:lang w:val="nn-NO"/>
        </w:rPr>
        <w:t>ld og trakassering</w:t>
      </w:r>
      <w:r w:rsidR="00AE40BD" w:rsidRPr="00AE02D3">
        <w:rPr>
          <w:lang w:val="nn-NO"/>
        </w:rPr>
        <w:t>,</w:t>
      </w:r>
      <w:r w:rsidR="002F03E4" w:rsidRPr="00AE02D3">
        <w:rPr>
          <w:lang w:val="nn-NO"/>
        </w:rPr>
        <w:t xml:space="preserve"> helse og omsorg, samt hatkriminalitet og hatefulle ytringar.</w:t>
      </w:r>
      <w:r w:rsidR="00F401CA" w:rsidRPr="00AE02D3">
        <w:rPr>
          <w:lang w:val="nn-NO"/>
        </w:rPr>
        <w:t xml:space="preserve"> </w:t>
      </w:r>
      <w:r w:rsidR="00255232" w:rsidRPr="00AE02D3">
        <w:rPr>
          <w:lang w:val="nn-NO"/>
        </w:rPr>
        <w:t>Ombodet</w:t>
      </w:r>
      <w:r w:rsidR="00CC758A" w:rsidRPr="00AE02D3">
        <w:rPr>
          <w:lang w:val="nn-NO"/>
        </w:rPr>
        <w:t xml:space="preserve"> vil </w:t>
      </w:r>
      <w:r w:rsidR="00F026A6" w:rsidRPr="00AE02D3">
        <w:rPr>
          <w:lang w:val="nn-NO"/>
        </w:rPr>
        <w:t>arbeide breitt</w:t>
      </w:r>
      <w:r w:rsidR="00E43F04" w:rsidRPr="00AE02D3">
        <w:rPr>
          <w:lang w:val="nn-NO"/>
        </w:rPr>
        <w:t xml:space="preserve"> </w:t>
      </w:r>
      <w:r w:rsidR="00A6060D" w:rsidRPr="00AE02D3">
        <w:rPr>
          <w:lang w:val="nn-NO"/>
        </w:rPr>
        <w:t>innanfor</w:t>
      </w:r>
      <w:r w:rsidR="00CC758A" w:rsidRPr="00AE02D3">
        <w:rPr>
          <w:lang w:val="nn-NO"/>
        </w:rPr>
        <w:t xml:space="preserve"> </w:t>
      </w:r>
      <w:r w:rsidR="005D78A0" w:rsidRPr="00AE02D3">
        <w:rPr>
          <w:lang w:val="nn-NO"/>
        </w:rPr>
        <w:t>d</w:t>
      </w:r>
      <w:r w:rsidR="00693177" w:rsidRPr="00AE02D3">
        <w:rPr>
          <w:lang w:val="nn-NO"/>
        </w:rPr>
        <w:t>esse</w:t>
      </w:r>
      <w:r w:rsidR="005D78A0" w:rsidRPr="00AE02D3">
        <w:rPr>
          <w:lang w:val="nn-NO"/>
        </w:rPr>
        <w:t xml:space="preserve"> felta</w:t>
      </w:r>
      <w:r w:rsidR="002F03E4" w:rsidRPr="00AE02D3">
        <w:rPr>
          <w:lang w:val="nn-NO"/>
        </w:rPr>
        <w:t xml:space="preserve">. </w:t>
      </w:r>
      <w:r w:rsidR="00E43F04" w:rsidRPr="00AE02D3">
        <w:rPr>
          <w:lang w:val="nn-NO"/>
        </w:rPr>
        <w:t>I 2020 vil v</w:t>
      </w:r>
      <w:r w:rsidR="00CC758A" w:rsidRPr="00AE02D3">
        <w:rPr>
          <w:lang w:val="nn-NO"/>
        </w:rPr>
        <w:t xml:space="preserve">i </w:t>
      </w:r>
      <w:r w:rsidR="00152773" w:rsidRPr="00AE02D3">
        <w:rPr>
          <w:lang w:val="nn-NO"/>
        </w:rPr>
        <w:t xml:space="preserve">blant </w:t>
      </w:r>
      <w:r w:rsidR="00E57AF3" w:rsidRPr="00AE02D3">
        <w:rPr>
          <w:lang w:val="nn-NO"/>
        </w:rPr>
        <w:t>anna</w:t>
      </w:r>
      <w:r w:rsidR="00CC758A" w:rsidRPr="00AE02D3">
        <w:rPr>
          <w:lang w:val="nn-NO"/>
        </w:rPr>
        <w:t xml:space="preserve"> følge opp a</w:t>
      </w:r>
      <w:r w:rsidR="00555B84" w:rsidRPr="00AE02D3">
        <w:rPr>
          <w:lang w:val="nn-NO"/>
        </w:rPr>
        <w:t>rbeidet med handlingsplan mot vald i nære relasjona</w:t>
      </w:r>
      <w:r w:rsidR="00CC758A" w:rsidRPr="00AE02D3">
        <w:rPr>
          <w:lang w:val="nn-NO"/>
        </w:rPr>
        <w:t>r, ny handlingsplan for universell utforming og ny handling</w:t>
      </w:r>
      <w:r w:rsidR="00B06223" w:rsidRPr="00AE02D3">
        <w:rPr>
          <w:lang w:val="nn-NO"/>
        </w:rPr>
        <w:t>splan mot muslimfiendtslegheit</w:t>
      </w:r>
      <w:r w:rsidR="00AB7550" w:rsidRPr="00AE02D3">
        <w:rPr>
          <w:lang w:val="nn-NO"/>
        </w:rPr>
        <w:t>. Andre v</w:t>
      </w:r>
      <w:r w:rsidR="002F03E4" w:rsidRPr="00AE02D3">
        <w:rPr>
          <w:lang w:val="nn-NO"/>
        </w:rPr>
        <w:t>ikt</w:t>
      </w:r>
      <w:r w:rsidR="00A92B64" w:rsidRPr="00AE02D3">
        <w:rPr>
          <w:lang w:val="nn-NO"/>
        </w:rPr>
        <w:t xml:space="preserve">ige problemstillingar </w:t>
      </w:r>
      <w:r w:rsidR="00AB7550" w:rsidRPr="00AE02D3">
        <w:rPr>
          <w:lang w:val="nn-NO"/>
        </w:rPr>
        <w:t>fra</w:t>
      </w:r>
      <w:r w:rsidR="00892905" w:rsidRPr="00AE02D3">
        <w:rPr>
          <w:lang w:val="nn-NO"/>
        </w:rPr>
        <w:t xml:space="preserve">mover </w:t>
      </w:r>
      <w:r w:rsidR="00AB7550" w:rsidRPr="00AE02D3">
        <w:rPr>
          <w:lang w:val="nn-NO"/>
        </w:rPr>
        <w:t xml:space="preserve">vil </w:t>
      </w:r>
      <w:r w:rsidR="00E57AF3" w:rsidRPr="00AE02D3">
        <w:rPr>
          <w:lang w:val="nn-NO"/>
        </w:rPr>
        <w:t>vere</w:t>
      </w:r>
      <w:r w:rsidR="00CC219C" w:rsidRPr="00AE02D3">
        <w:rPr>
          <w:lang w:val="nn-NO"/>
        </w:rPr>
        <w:t xml:space="preserve"> </w:t>
      </w:r>
      <w:r w:rsidR="00AB7550" w:rsidRPr="00AE02D3">
        <w:rPr>
          <w:lang w:val="nn-NO"/>
        </w:rPr>
        <w:t>tvang og verj</w:t>
      </w:r>
      <w:r w:rsidR="00C76E6A" w:rsidRPr="00AE02D3">
        <w:rPr>
          <w:lang w:val="nn-NO"/>
        </w:rPr>
        <w:t xml:space="preserve">emål, likeverdige helse- og omsorgstenester, </w:t>
      </w:r>
      <w:r w:rsidR="0037541B" w:rsidRPr="00AE02D3">
        <w:rPr>
          <w:lang w:val="nn-NO"/>
        </w:rPr>
        <w:t>ytringsklimaet på F</w:t>
      </w:r>
      <w:r w:rsidR="00AE40BD" w:rsidRPr="00AE02D3">
        <w:rPr>
          <w:lang w:val="nn-NO"/>
        </w:rPr>
        <w:t>acebook</w:t>
      </w:r>
      <w:r w:rsidR="00892905" w:rsidRPr="00AE02D3">
        <w:rPr>
          <w:lang w:val="nn-NO"/>
        </w:rPr>
        <w:t>, diskriminering på grunn av graviditet og f</w:t>
      </w:r>
      <w:r w:rsidR="00A91FCE" w:rsidRPr="00AE02D3">
        <w:rPr>
          <w:lang w:val="nn-NO"/>
        </w:rPr>
        <w:t>oreldrepermisjon, soningstilhøve</w:t>
      </w:r>
      <w:r w:rsidR="00892905" w:rsidRPr="00AE02D3">
        <w:rPr>
          <w:lang w:val="nn-NO"/>
        </w:rPr>
        <w:t xml:space="preserve"> for kvinner</w:t>
      </w:r>
      <w:r w:rsidR="00A91FCE" w:rsidRPr="00AE02D3">
        <w:rPr>
          <w:lang w:val="nn-NO"/>
        </w:rPr>
        <w:t>,</w:t>
      </w:r>
      <w:r w:rsidR="00892905" w:rsidRPr="00AE02D3">
        <w:rPr>
          <w:lang w:val="nn-NO"/>
        </w:rPr>
        <w:t xml:space="preserve"> og </w:t>
      </w:r>
      <w:r w:rsidR="00A91FCE" w:rsidRPr="00AE02D3">
        <w:rPr>
          <w:lang w:val="nn-NO"/>
        </w:rPr>
        <w:t xml:space="preserve">overrepresentasjonen av menn i </w:t>
      </w:r>
      <w:r w:rsidR="00A4420A" w:rsidRPr="00AE02D3">
        <w:rPr>
          <w:lang w:val="nn-NO"/>
        </w:rPr>
        <w:t xml:space="preserve">statistikken over </w:t>
      </w:r>
      <w:r w:rsidR="00A91FCE" w:rsidRPr="00AE02D3">
        <w:rPr>
          <w:lang w:val="nn-NO"/>
        </w:rPr>
        <w:t>sjølvmord</w:t>
      </w:r>
      <w:r w:rsidR="00A4420A" w:rsidRPr="00AE02D3">
        <w:rPr>
          <w:lang w:val="nn-NO"/>
        </w:rPr>
        <w:t>.</w:t>
      </w:r>
      <w:r w:rsidR="00A91FCE" w:rsidRPr="00AE02D3">
        <w:rPr>
          <w:lang w:val="nn-NO"/>
        </w:rPr>
        <w:t xml:space="preserve"> </w:t>
      </w:r>
      <w:r w:rsidR="00892905" w:rsidRPr="00AE02D3">
        <w:rPr>
          <w:lang w:val="nn-NO"/>
        </w:rPr>
        <w:t xml:space="preserve"> </w:t>
      </w:r>
    </w:p>
    <w:p w:rsidR="00CC758A" w:rsidRPr="00AE02D3" w:rsidRDefault="00CC758A" w:rsidP="00CC758A">
      <w:pPr>
        <w:rPr>
          <w:lang w:val="nn-NO"/>
        </w:rPr>
      </w:pPr>
      <w:r w:rsidRPr="00AE02D3">
        <w:rPr>
          <w:lang w:val="nn-NO"/>
        </w:rPr>
        <w:t xml:space="preserve">I 2020 </w:t>
      </w:r>
      <w:r w:rsidR="00CA7580" w:rsidRPr="00AE02D3">
        <w:rPr>
          <w:lang w:val="nn-NO"/>
        </w:rPr>
        <w:t>ønskjer</w:t>
      </w:r>
      <w:r w:rsidR="004B47BB" w:rsidRPr="00AE02D3">
        <w:rPr>
          <w:lang w:val="nn-NO"/>
        </w:rPr>
        <w:t xml:space="preserve"> vi dessuta</w:t>
      </w:r>
      <w:r w:rsidRPr="00AE02D3">
        <w:rPr>
          <w:lang w:val="nn-NO"/>
        </w:rPr>
        <w:t>n å bygg</w:t>
      </w:r>
      <w:r w:rsidR="004B47BB" w:rsidRPr="00AE02D3">
        <w:rPr>
          <w:lang w:val="nn-NO"/>
        </w:rPr>
        <w:t>j</w:t>
      </w:r>
      <w:r w:rsidRPr="00AE02D3">
        <w:rPr>
          <w:lang w:val="nn-NO"/>
        </w:rPr>
        <w:t xml:space="preserve">e opp kompetanse på kunstig intelligens og </w:t>
      </w:r>
      <w:r w:rsidR="004B47BB" w:rsidRPr="00AE02D3">
        <w:rPr>
          <w:lang w:val="nn-NO"/>
        </w:rPr>
        <w:t>korleis bruk av algoritma</w:t>
      </w:r>
      <w:r w:rsidRPr="00AE02D3">
        <w:rPr>
          <w:lang w:val="nn-NO"/>
        </w:rPr>
        <w:t xml:space="preserve">r </w:t>
      </w:r>
      <w:r w:rsidR="008617F3" w:rsidRPr="00AE02D3">
        <w:rPr>
          <w:lang w:val="nn-NO"/>
        </w:rPr>
        <w:t xml:space="preserve">eventuelt </w:t>
      </w:r>
      <w:r w:rsidR="004B47BB" w:rsidRPr="00AE02D3">
        <w:rPr>
          <w:lang w:val="nn-NO"/>
        </w:rPr>
        <w:t>kan verke diskriminera</w:t>
      </w:r>
      <w:r w:rsidRPr="00AE02D3">
        <w:rPr>
          <w:lang w:val="nn-NO"/>
        </w:rPr>
        <w:t xml:space="preserve">nde på ulike samfunnsområder og for ulike grupper. </w:t>
      </w:r>
    </w:p>
    <w:p w:rsidR="00C66BAD" w:rsidRPr="00AE02D3" w:rsidRDefault="00255232" w:rsidP="00BF50B2">
      <w:pPr>
        <w:rPr>
          <w:lang w:val="nn-NO"/>
        </w:rPr>
      </w:pPr>
      <w:r w:rsidRPr="001D0BDE">
        <w:rPr>
          <w:lang w:val="nn-NO"/>
        </w:rPr>
        <w:t>Ombodet</w:t>
      </w:r>
      <w:r w:rsidR="00857027">
        <w:rPr>
          <w:lang w:val="nn-NO"/>
        </w:rPr>
        <w:t xml:space="preserve"> </w:t>
      </w:r>
      <w:r w:rsidR="00751601">
        <w:rPr>
          <w:lang w:val="nn-NO"/>
        </w:rPr>
        <w:t>sitt tilsyn- og</w:t>
      </w:r>
      <w:r w:rsidR="009824F7" w:rsidRPr="001D0BDE">
        <w:rPr>
          <w:lang w:val="nn-NO"/>
        </w:rPr>
        <w:t xml:space="preserve"> på</w:t>
      </w:r>
      <w:r w:rsidR="009C2BB5">
        <w:rPr>
          <w:lang w:val="nn-NO"/>
        </w:rPr>
        <w:t>driva</w:t>
      </w:r>
      <w:r w:rsidR="009824F7" w:rsidRPr="001D0BDE">
        <w:rPr>
          <w:lang w:val="nn-NO"/>
        </w:rPr>
        <w:t>r</w:t>
      </w:r>
      <w:r w:rsidR="00751601">
        <w:rPr>
          <w:lang w:val="nn-NO"/>
        </w:rPr>
        <w:t>arbeid</w:t>
      </w:r>
      <w:r w:rsidR="00CC758A" w:rsidRPr="001D0BDE">
        <w:rPr>
          <w:lang w:val="nn-NO"/>
        </w:rPr>
        <w:t xml:space="preserve"> </w:t>
      </w:r>
      <w:r w:rsidR="007A3F84" w:rsidRPr="001D0BDE">
        <w:rPr>
          <w:lang w:val="nn-NO"/>
        </w:rPr>
        <w:t xml:space="preserve">skal </w:t>
      </w:r>
      <w:r w:rsidR="00E57AF3" w:rsidRPr="001D0BDE">
        <w:rPr>
          <w:lang w:val="nn-NO"/>
        </w:rPr>
        <w:t>vere</w:t>
      </w:r>
      <w:r w:rsidR="007A3F84" w:rsidRPr="001D0BDE">
        <w:rPr>
          <w:lang w:val="nn-NO"/>
        </w:rPr>
        <w:t xml:space="preserve"> </w:t>
      </w:r>
      <w:r w:rsidR="009C2BB5">
        <w:rPr>
          <w:lang w:val="nn-NO"/>
        </w:rPr>
        <w:t>basert på kunnskap</w:t>
      </w:r>
      <w:r w:rsidR="007A3F84" w:rsidRPr="001D0BDE">
        <w:rPr>
          <w:lang w:val="nn-NO"/>
        </w:rPr>
        <w:t xml:space="preserve">. </w:t>
      </w:r>
      <w:r w:rsidR="007A3F84" w:rsidRPr="00AE02D3">
        <w:rPr>
          <w:lang w:val="nn-NO"/>
        </w:rPr>
        <w:t xml:space="preserve">Vi baserer oss </w:t>
      </w:r>
      <w:r w:rsidR="00AB15FD" w:rsidRPr="00AE02D3">
        <w:rPr>
          <w:lang w:val="nn-NO"/>
        </w:rPr>
        <w:t xml:space="preserve">på </w:t>
      </w:r>
      <w:r w:rsidR="000B6B4E" w:rsidRPr="00AE02D3">
        <w:rPr>
          <w:lang w:val="nn-NO"/>
        </w:rPr>
        <w:t>forsk</w:t>
      </w:r>
      <w:r w:rsidR="00540A20" w:rsidRPr="00AE02D3">
        <w:rPr>
          <w:lang w:val="nn-NO"/>
        </w:rPr>
        <w:t xml:space="preserve">ing, samt </w:t>
      </w:r>
      <w:r w:rsidR="00CC758A" w:rsidRPr="00AE02D3">
        <w:rPr>
          <w:lang w:val="nn-NO"/>
        </w:rPr>
        <w:t xml:space="preserve">kunnskap vi får </w:t>
      </w:r>
      <w:r w:rsidR="00AE6728" w:rsidRPr="00AE02D3">
        <w:rPr>
          <w:lang w:val="nn-NO"/>
        </w:rPr>
        <w:t>frå</w:t>
      </w:r>
      <w:r w:rsidR="00CC758A" w:rsidRPr="00AE02D3">
        <w:rPr>
          <w:lang w:val="nn-NO"/>
        </w:rPr>
        <w:t xml:space="preserve"> </w:t>
      </w:r>
      <w:r w:rsidR="000B6B4E" w:rsidRPr="00AE02D3">
        <w:rPr>
          <w:lang w:val="nn-NO"/>
        </w:rPr>
        <w:t>eige tilfang av saker, og eigne und</w:t>
      </w:r>
      <w:r w:rsidR="0003618F" w:rsidRPr="00AE02D3">
        <w:rPr>
          <w:lang w:val="nn-NO"/>
        </w:rPr>
        <w:t>ersøk</w:t>
      </w:r>
      <w:r w:rsidR="000B6B4E" w:rsidRPr="00AE02D3">
        <w:rPr>
          <w:lang w:val="nn-NO"/>
        </w:rPr>
        <w:t>ingar</w:t>
      </w:r>
      <w:r w:rsidR="00CC758A" w:rsidRPr="00AE02D3">
        <w:rPr>
          <w:lang w:val="nn-NO"/>
        </w:rPr>
        <w:t xml:space="preserve"> gjennom </w:t>
      </w:r>
      <w:r w:rsidR="00AB15FD" w:rsidRPr="00AE02D3">
        <w:rPr>
          <w:lang w:val="nn-NO"/>
        </w:rPr>
        <w:t xml:space="preserve">for eksempel </w:t>
      </w:r>
      <w:r w:rsidR="008E00CD" w:rsidRPr="00AE02D3">
        <w:rPr>
          <w:lang w:val="nn-NO"/>
        </w:rPr>
        <w:t>skriftle</w:t>
      </w:r>
      <w:r w:rsidR="00CC758A" w:rsidRPr="00AE02D3">
        <w:rPr>
          <w:lang w:val="nn-NO"/>
        </w:rPr>
        <w:t>ge tilsyn</w:t>
      </w:r>
      <w:r w:rsidR="00540A20" w:rsidRPr="00AE02D3">
        <w:rPr>
          <w:lang w:val="nn-NO"/>
        </w:rPr>
        <w:t>. Vi</w:t>
      </w:r>
      <w:r w:rsidR="00AB15FD" w:rsidRPr="00AE02D3">
        <w:rPr>
          <w:lang w:val="nn-NO"/>
        </w:rPr>
        <w:t xml:space="preserve"> </w:t>
      </w:r>
      <w:r w:rsidR="005D2BDD" w:rsidRPr="00AE02D3">
        <w:rPr>
          <w:lang w:val="nn-NO"/>
        </w:rPr>
        <w:t>hentar også inn</w:t>
      </w:r>
      <w:r w:rsidR="009824F7" w:rsidRPr="00AE02D3">
        <w:rPr>
          <w:lang w:val="nn-NO"/>
        </w:rPr>
        <w:t xml:space="preserve"> </w:t>
      </w:r>
      <w:r w:rsidR="00CC758A" w:rsidRPr="00AE02D3">
        <w:rPr>
          <w:lang w:val="nn-NO"/>
        </w:rPr>
        <w:t>kunnskap og bygg</w:t>
      </w:r>
      <w:r w:rsidR="005D2BDD" w:rsidRPr="00AE02D3">
        <w:rPr>
          <w:lang w:val="nn-NO"/>
        </w:rPr>
        <w:t>j</w:t>
      </w:r>
      <w:r w:rsidR="00CC758A" w:rsidRPr="00AE02D3">
        <w:rPr>
          <w:lang w:val="nn-NO"/>
        </w:rPr>
        <w:t>e</w:t>
      </w:r>
      <w:r w:rsidR="00E57DBA" w:rsidRPr="00AE02D3">
        <w:rPr>
          <w:lang w:val="nn-NO"/>
        </w:rPr>
        <w:t>r</w:t>
      </w:r>
      <w:r w:rsidR="00CC758A" w:rsidRPr="00AE02D3">
        <w:rPr>
          <w:lang w:val="nn-NO"/>
        </w:rPr>
        <w:t xml:space="preserve"> opp kompetanse ved å sette</w:t>
      </w:r>
      <w:r w:rsidR="005D2BDD" w:rsidRPr="00AE02D3">
        <w:rPr>
          <w:lang w:val="nn-NO"/>
        </w:rPr>
        <w:t xml:space="preserve"> ut arbeid til eksterne forskarar og kunnskapsmiljø</w:t>
      </w:r>
      <w:r w:rsidR="00CC758A" w:rsidRPr="00AE02D3">
        <w:rPr>
          <w:lang w:val="nn-NO"/>
        </w:rPr>
        <w:t>.</w:t>
      </w:r>
      <w:r w:rsidR="00B248FA" w:rsidRPr="00AE02D3">
        <w:rPr>
          <w:lang w:val="nn-NO"/>
        </w:rPr>
        <w:t xml:space="preserve"> I 2020 planlegg</w:t>
      </w:r>
      <w:r w:rsidR="000D5E3B" w:rsidRPr="00AE02D3">
        <w:rPr>
          <w:lang w:val="nn-NO"/>
        </w:rPr>
        <w:t xml:space="preserve"> vi </w:t>
      </w:r>
      <w:r w:rsidR="00C14CA8" w:rsidRPr="00AE02D3">
        <w:rPr>
          <w:lang w:val="nn-NO"/>
        </w:rPr>
        <w:t>fle</w:t>
      </w:r>
      <w:r w:rsidR="00663D04" w:rsidRPr="00AE02D3">
        <w:rPr>
          <w:lang w:val="nn-NO"/>
        </w:rPr>
        <w:t>i</w:t>
      </w:r>
      <w:r w:rsidR="00C14CA8" w:rsidRPr="00AE02D3">
        <w:rPr>
          <w:lang w:val="nn-NO"/>
        </w:rPr>
        <w:t xml:space="preserve">re </w:t>
      </w:r>
      <w:r w:rsidR="000D5E3B" w:rsidRPr="00AE02D3">
        <w:rPr>
          <w:lang w:val="nn-NO"/>
        </w:rPr>
        <w:t xml:space="preserve">slike </w:t>
      </w:r>
      <w:r w:rsidR="00E57DBA" w:rsidRPr="00AE02D3">
        <w:rPr>
          <w:lang w:val="nn-NO"/>
        </w:rPr>
        <w:t>prosjekter</w:t>
      </w:r>
      <w:r w:rsidR="00FA77BB" w:rsidRPr="00AE02D3">
        <w:rPr>
          <w:lang w:val="nn-NO"/>
        </w:rPr>
        <w:t>.</w:t>
      </w:r>
    </w:p>
    <w:p w:rsidR="00E57DBA" w:rsidRPr="00AE02D3" w:rsidRDefault="00BF50B2" w:rsidP="00BF50B2">
      <w:pPr>
        <w:rPr>
          <w:lang w:val="nn-NO"/>
        </w:rPr>
      </w:pPr>
      <w:r w:rsidRPr="00AE02D3">
        <w:rPr>
          <w:lang w:val="nn-NO"/>
        </w:rPr>
        <w:t xml:space="preserve">Ved slutten av </w:t>
      </w:r>
      <w:r w:rsidR="00AB15FD" w:rsidRPr="00AE02D3">
        <w:rPr>
          <w:lang w:val="nn-NO"/>
        </w:rPr>
        <w:t xml:space="preserve">2019 </w:t>
      </w:r>
      <w:r w:rsidR="00B406EF" w:rsidRPr="00AE02D3">
        <w:rPr>
          <w:lang w:val="nn-NO"/>
        </w:rPr>
        <w:t>vart ombodet sine nye nettsi</w:t>
      </w:r>
      <w:r w:rsidR="00565124" w:rsidRPr="00AE02D3">
        <w:rPr>
          <w:lang w:val="nn-NO"/>
        </w:rPr>
        <w:t>d</w:t>
      </w:r>
      <w:r w:rsidR="00B406EF" w:rsidRPr="00AE02D3">
        <w:rPr>
          <w:lang w:val="nn-NO"/>
        </w:rPr>
        <w:t xml:space="preserve">er lanserte. </w:t>
      </w:r>
      <w:r w:rsidR="00693177" w:rsidRPr="00AE02D3">
        <w:rPr>
          <w:lang w:val="nn-NO"/>
        </w:rPr>
        <w:t>Desse</w:t>
      </w:r>
      <w:r w:rsidRPr="00AE02D3">
        <w:rPr>
          <w:lang w:val="nn-NO"/>
        </w:rPr>
        <w:t xml:space="preserve"> har </w:t>
      </w:r>
      <w:r w:rsidR="00565124" w:rsidRPr="00AE02D3">
        <w:rPr>
          <w:lang w:val="nn-NO"/>
        </w:rPr>
        <w:t xml:space="preserve">gått gjennom ein total </w:t>
      </w:r>
      <w:r w:rsidR="00D210CF" w:rsidRPr="00AE02D3">
        <w:rPr>
          <w:lang w:val="nn-NO"/>
        </w:rPr>
        <w:t>forvandling</w:t>
      </w:r>
      <w:r w:rsidR="00D22919" w:rsidRPr="00AE02D3">
        <w:rPr>
          <w:lang w:val="nn-NO"/>
        </w:rPr>
        <w:t xml:space="preserve"> både når det gjeld</w:t>
      </w:r>
      <w:r w:rsidRPr="00AE02D3">
        <w:rPr>
          <w:lang w:val="nn-NO"/>
        </w:rPr>
        <w:t xml:space="preserve"> ut</w:t>
      </w:r>
      <w:r w:rsidR="00D22919" w:rsidRPr="00AE02D3">
        <w:rPr>
          <w:lang w:val="nn-NO"/>
        </w:rPr>
        <w:t>sjåande</w:t>
      </w:r>
      <w:r w:rsidRPr="00AE02D3">
        <w:rPr>
          <w:lang w:val="nn-NO"/>
        </w:rPr>
        <w:t>, ti</w:t>
      </w:r>
      <w:r w:rsidR="00D22919" w:rsidRPr="00AE02D3">
        <w:rPr>
          <w:lang w:val="nn-NO"/>
        </w:rPr>
        <w:t>lgjengelegheit</w:t>
      </w:r>
      <w:r w:rsidRPr="00AE02D3">
        <w:rPr>
          <w:lang w:val="nn-NO"/>
        </w:rPr>
        <w:t xml:space="preserve"> og in</w:t>
      </w:r>
      <w:r w:rsidR="00D22919" w:rsidRPr="00AE02D3">
        <w:rPr>
          <w:lang w:val="nn-NO"/>
        </w:rPr>
        <w:t>nha</w:t>
      </w:r>
      <w:r w:rsidR="00046C3C" w:rsidRPr="00AE02D3">
        <w:rPr>
          <w:lang w:val="nn-NO"/>
        </w:rPr>
        <w:t>ld. Vidareutvikling og oppdatering av nettsidene vil ha høg prioritet framover.</w:t>
      </w:r>
      <w:r w:rsidR="00AB15FD" w:rsidRPr="00AE02D3">
        <w:rPr>
          <w:lang w:val="nn-NO"/>
        </w:rPr>
        <w:t xml:space="preserve"> </w:t>
      </w:r>
      <w:r w:rsidR="0076163E" w:rsidRPr="00AE02D3">
        <w:rPr>
          <w:lang w:val="nn-NO"/>
        </w:rPr>
        <w:t>I 2019 har vi også styrka vår tilgjengelegheit</w:t>
      </w:r>
      <w:r w:rsidRPr="00AE02D3">
        <w:rPr>
          <w:lang w:val="nn-NO"/>
        </w:rPr>
        <w:t xml:space="preserve"> på sosiale medier, e</w:t>
      </w:r>
      <w:r w:rsidR="005E7714" w:rsidRPr="00AE02D3">
        <w:rPr>
          <w:lang w:val="nn-NO"/>
        </w:rPr>
        <w:t>i</w:t>
      </w:r>
      <w:r w:rsidRPr="00AE02D3">
        <w:rPr>
          <w:lang w:val="nn-NO"/>
        </w:rPr>
        <w:t xml:space="preserve"> satsing som </w:t>
      </w:r>
      <w:r w:rsidR="008D44F5" w:rsidRPr="00AE02D3">
        <w:rPr>
          <w:lang w:val="nn-NO"/>
        </w:rPr>
        <w:t>blir ført vidare</w:t>
      </w:r>
      <w:r w:rsidRPr="00AE02D3">
        <w:rPr>
          <w:lang w:val="nn-NO"/>
        </w:rPr>
        <w:t xml:space="preserve"> i 2020. </w:t>
      </w:r>
    </w:p>
    <w:p w:rsidR="00C40D31" w:rsidRPr="00AE02D3" w:rsidRDefault="00255232" w:rsidP="00BF50B2">
      <w:pPr>
        <w:rPr>
          <w:lang w:val="nn-NO"/>
        </w:rPr>
      </w:pPr>
      <w:r w:rsidRPr="00AE02D3">
        <w:rPr>
          <w:lang w:val="nn-NO"/>
        </w:rPr>
        <w:t>Ombodet</w:t>
      </w:r>
      <w:r w:rsidR="00D90EA2" w:rsidRPr="00AE02D3">
        <w:rPr>
          <w:lang w:val="nn-NO"/>
        </w:rPr>
        <w:t xml:space="preserve"> vil framleis</w:t>
      </w:r>
      <w:r w:rsidR="00C66BAD" w:rsidRPr="00AE02D3">
        <w:rPr>
          <w:lang w:val="nn-NO"/>
        </w:rPr>
        <w:t xml:space="preserve"> ha som mål å </w:t>
      </w:r>
      <w:r w:rsidR="00E57AF3" w:rsidRPr="00AE02D3">
        <w:rPr>
          <w:lang w:val="nn-NO"/>
        </w:rPr>
        <w:t>vere</w:t>
      </w:r>
      <w:r w:rsidR="00C66BAD" w:rsidRPr="00AE02D3">
        <w:rPr>
          <w:lang w:val="nn-NO"/>
        </w:rPr>
        <w:t xml:space="preserve"> e</w:t>
      </w:r>
      <w:r w:rsidR="00D90EA2" w:rsidRPr="00AE02D3">
        <w:rPr>
          <w:lang w:val="nn-NO"/>
        </w:rPr>
        <w:t>i</w:t>
      </w:r>
      <w:r w:rsidR="00C66BAD" w:rsidRPr="00AE02D3">
        <w:rPr>
          <w:lang w:val="nn-NO"/>
        </w:rPr>
        <w:t>t av de</w:t>
      </w:r>
      <w:r w:rsidR="00D90EA2" w:rsidRPr="00AE02D3">
        <w:rPr>
          <w:lang w:val="nn-NO"/>
        </w:rPr>
        <w:t>i</w:t>
      </w:r>
      <w:r w:rsidR="00C66BAD" w:rsidRPr="00AE02D3">
        <w:rPr>
          <w:lang w:val="nn-NO"/>
        </w:rPr>
        <w:t xml:space="preserve"> fre</w:t>
      </w:r>
      <w:r w:rsidR="00D90EA2" w:rsidRPr="00AE02D3">
        <w:rPr>
          <w:lang w:val="nn-NO"/>
        </w:rPr>
        <w:t>mste fagmiljøa</w:t>
      </w:r>
      <w:r w:rsidR="00C66BAD" w:rsidRPr="00AE02D3">
        <w:rPr>
          <w:lang w:val="nn-NO"/>
        </w:rPr>
        <w:t xml:space="preserve"> </w:t>
      </w:r>
      <w:r w:rsidR="00A6060D" w:rsidRPr="00AE02D3">
        <w:rPr>
          <w:lang w:val="nn-NO"/>
        </w:rPr>
        <w:t>innanfor</w:t>
      </w:r>
      <w:r w:rsidR="00C66BAD" w:rsidRPr="00AE02D3">
        <w:rPr>
          <w:lang w:val="nn-NO"/>
        </w:rPr>
        <w:t xml:space="preserve"> likestillings- og diskriminering</w:t>
      </w:r>
      <w:r w:rsidR="005E7714" w:rsidRPr="00AE02D3">
        <w:rPr>
          <w:lang w:val="nn-NO"/>
        </w:rPr>
        <w:t>s</w:t>
      </w:r>
      <w:r w:rsidR="00C66BAD" w:rsidRPr="00AE02D3">
        <w:rPr>
          <w:lang w:val="nn-NO"/>
        </w:rPr>
        <w:t>jussen.</w:t>
      </w:r>
      <w:r w:rsidR="005E7714" w:rsidRPr="00AE02D3">
        <w:rPr>
          <w:lang w:val="nn-NO"/>
        </w:rPr>
        <w:t xml:space="preserve"> </w:t>
      </w:r>
      <w:r w:rsidR="00C66BAD" w:rsidRPr="00AE02D3">
        <w:rPr>
          <w:lang w:val="nn-NO"/>
        </w:rPr>
        <w:t>Vi</w:t>
      </w:r>
      <w:r w:rsidR="00FA77BB" w:rsidRPr="00AE02D3">
        <w:rPr>
          <w:lang w:val="nn-NO"/>
        </w:rPr>
        <w:t xml:space="preserve"> </w:t>
      </w:r>
      <w:r w:rsidR="00A84E97" w:rsidRPr="00AE02D3">
        <w:rPr>
          <w:lang w:val="nn-NO"/>
        </w:rPr>
        <w:t>tek imot</w:t>
      </w:r>
      <w:r w:rsidR="00152773" w:rsidRPr="00AE02D3">
        <w:rPr>
          <w:lang w:val="nn-NO"/>
        </w:rPr>
        <w:t xml:space="preserve"> rundt 2000 </w:t>
      </w:r>
      <w:r w:rsidR="00A84E97" w:rsidRPr="00AE02D3">
        <w:rPr>
          <w:lang w:val="nn-NO"/>
        </w:rPr>
        <w:t>rettleiing</w:t>
      </w:r>
      <w:r w:rsidR="00152773" w:rsidRPr="00AE02D3">
        <w:rPr>
          <w:lang w:val="nn-NO"/>
        </w:rPr>
        <w:t xml:space="preserve">ssaker i året. </w:t>
      </w:r>
      <w:r w:rsidR="00FA77BB" w:rsidRPr="00AE02D3">
        <w:rPr>
          <w:lang w:val="nn-NO"/>
        </w:rPr>
        <w:t xml:space="preserve">Tilfanget av enkeltsaker </w:t>
      </w:r>
      <w:r w:rsidR="00152773" w:rsidRPr="00AE02D3">
        <w:rPr>
          <w:lang w:val="nn-NO"/>
        </w:rPr>
        <w:t xml:space="preserve">har </w:t>
      </w:r>
      <w:r w:rsidR="009C28DC" w:rsidRPr="00AE02D3">
        <w:rPr>
          <w:lang w:val="nn-NO"/>
        </w:rPr>
        <w:t>vore</w:t>
      </w:r>
      <w:r w:rsidR="00152773" w:rsidRPr="00AE02D3">
        <w:rPr>
          <w:lang w:val="nn-NO"/>
        </w:rPr>
        <w:t xml:space="preserve"> stabilt gjennom fle</w:t>
      </w:r>
      <w:r w:rsidR="00A84E97" w:rsidRPr="00AE02D3">
        <w:rPr>
          <w:lang w:val="nn-NO"/>
        </w:rPr>
        <w:t>ire år, og vi forventar</w:t>
      </w:r>
      <w:r w:rsidR="00152773" w:rsidRPr="00AE02D3">
        <w:rPr>
          <w:lang w:val="nn-NO"/>
        </w:rPr>
        <w:t xml:space="preserve"> </w:t>
      </w:r>
      <w:r w:rsidR="005A65F1" w:rsidRPr="00AE02D3">
        <w:rPr>
          <w:lang w:val="nn-NO"/>
        </w:rPr>
        <w:t xml:space="preserve">at </w:t>
      </w:r>
      <w:r w:rsidR="00A84E97" w:rsidRPr="00AE02D3">
        <w:rPr>
          <w:lang w:val="nn-NO"/>
        </w:rPr>
        <w:t>antallet fra</w:t>
      </w:r>
      <w:r w:rsidR="00FA77BB" w:rsidRPr="00AE02D3">
        <w:rPr>
          <w:lang w:val="nn-NO"/>
        </w:rPr>
        <w:t>mover vil ligg</w:t>
      </w:r>
      <w:r w:rsidR="00A84E97" w:rsidRPr="00AE02D3">
        <w:rPr>
          <w:lang w:val="nn-NO"/>
        </w:rPr>
        <w:t>je på sam</w:t>
      </w:r>
      <w:r w:rsidR="00FA77BB" w:rsidRPr="00AE02D3">
        <w:rPr>
          <w:lang w:val="nn-NO"/>
        </w:rPr>
        <w:t xml:space="preserve">e nivå, </w:t>
      </w:r>
      <w:r w:rsidR="00FF676E" w:rsidRPr="00AE02D3">
        <w:rPr>
          <w:lang w:val="nn-NO"/>
        </w:rPr>
        <w:t>med ei moglet auke</w:t>
      </w:r>
      <w:r w:rsidR="00FA77BB" w:rsidRPr="00AE02D3">
        <w:rPr>
          <w:lang w:val="nn-NO"/>
        </w:rPr>
        <w:t xml:space="preserve"> som f</w:t>
      </w:r>
      <w:r w:rsidR="00FF676E" w:rsidRPr="00AE02D3">
        <w:rPr>
          <w:lang w:val="nn-NO"/>
        </w:rPr>
        <w:t>ølge av ny</w:t>
      </w:r>
      <w:r w:rsidR="00FA77BB" w:rsidRPr="00AE02D3">
        <w:rPr>
          <w:lang w:val="nn-NO"/>
        </w:rPr>
        <w:t xml:space="preserve"> akt</w:t>
      </w:r>
      <w:r w:rsidR="00FF676E" w:rsidRPr="00AE02D3">
        <w:rPr>
          <w:lang w:val="nn-NO"/>
        </w:rPr>
        <w:t>ivitets- og utgreiingsplikt</w:t>
      </w:r>
      <w:r w:rsidR="00FA77BB" w:rsidRPr="00AE02D3">
        <w:rPr>
          <w:lang w:val="nn-NO"/>
        </w:rPr>
        <w:t xml:space="preserve">, samt nytt </w:t>
      </w:r>
      <w:r w:rsidR="00AE1254" w:rsidRPr="00AE02D3">
        <w:rPr>
          <w:lang w:val="nn-NO"/>
        </w:rPr>
        <w:t>lågterskeltilbod</w:t>
      </w:r>
      <w:r w:rsidR="00FA77BB" w:rsidRPr="00AE02D3">
        <w:rPr>
          <w:lang w:val="nn-NO"/>
        </w:rPr>
        <w:t xml:space="preserve"> for seksuell trakassering. </w:t>
      </w:r>
      <w:r w:rsidRPr="00AE02D3">
        <w:rPr>
          <w:lang w:val="nn-NO"/>
        </w:rPr>
        <w:t>Ombodet</w:t>
      </w:r>
      <w:r w:rsidR="00C66BAD" w:rsidRPr="00AE02D3">
        <w:rPr>
          <w:lang w:val="nn-NO"/>
        </w:rPr>
        <w:t xml:space="preserve"> vil fortsette</w:t>
      </w:r>
      <w:r w:rsidR="00FA77BB" w:rsidRPr="00AE02D3">
        <w:rPr>
          <w:lang w:val="nn-NO"/>
        </w:rPr>
        <w:t xml:space="preserve"> å ha e</w:t>
      </w:r>
      <w:r w:rsidR="00494FFF" w:rsidRPr="00AE02D3">
        <w:rPr>
          <w:lang w:val="nn-NO"/>
        </w:rPr>
        <w:t>i</w:t>
      </w:r>
      <w:r w:rsidR="00FA77BB" w:rsidRPr="00AE02D3">
        <w:rPr>
          <w:lang w:val="nn-NO"/>
        </w:rPr>
        <w:t xml:space="preserve">t </w:t>
      </w:r>
      <w:r w:rsidR="009C28DC" w:rsidRPr="00AE02D3">
        <w:rPr>
          <w:lang w:val="nn-NO"/>
        </w:rPr>
        <w:t>særleg</w:t>
      </w:r>
      <w:r w:rsidR="00FA77BB" w:rsidRPr="00AE02D3">
        <w:rPr>
          <w:lang w:val="nn-NO"/>
        </w:rPr>
        <w:t xml:space="preserve"> f</w:t>
      </w:r>
      <w:r w:rsidR="00494FFF" w:rsidRPr="00AE02D3">
        <w:rPr>
          <w:lang w:val="nn-NO"/>
        </w:rPr>
        <w:t>okus på å nå grupper som er utse</w:t>
      </w:r>
      <w:r w:rsidR="00FA77BB" w:rsidRPr="00AE02D3">
        <w:rPr>
          <w:lang w:val="nn-NO"/>
        </w:rPr>
        <w:t>tte for di</w:t>
      </w:r>
      <w:r w:rsidR="00C40D31" w:rsidRPr="00AE02D3">
        <w:rPr>
          <w:lang w:val="nn-NO"/>
        </w:rPr>
        <w:t xml:space="preserve">skriminering, men som i mindre grad </w:t>
      </w:r>
      <w:r w:rsidR="00C66BAD" w:rsidRPr="00AE02D3">
        <w:rPr>
          <w:lang w:val="nn-NO"/>
        </w:rPr>
        <w:t xml:space="preserve">ser ut til </w:t>
      </w:r>
      <w:r w:rsidR="00494FFF" w:rsidRPr="00AE02D3">
        <w:rPr>
          <w:lang w:val="nn-NO"/>
        </w:rPr>
        <w:t>å finne fra</w:t>
      </w:r>
      <w:r w:rsidR="00C40D31" w:rsidRPr="00AE02D3">
        <w:rPr>
          <w:lang w:val="nn-NO"/>
        </w:rPr>
        <w:t xml:space="preserve">m til </w:t>
      </w:r>
      <w:r w:rsidR="00494FFF" w:rsidRPr="00AE02D3">
        <w:rPr>
          <w:lang w:val="nn-NO"/>
        </w:rPr>
        <w:t xml:space="preserve">rettleiingstjenesta vår eller å kjenne rettane sine. </w:t>
      </w:r>
      <w:r w:rsidR="00C66BAD" w:rsidRPr="00AE02D3">
        <w:rPr>
          <w:lang w:val="nn-NO"/>
        </w:rPr>
        <w:t xml:space="preserve"> </w:t>
      </w:r>
      <w:r w:rsidR="00BF50B2" w:rsidRPr="00AE02D3">
        <w:rPr>
          <w:lang w:val="nn-NO"/>
        </w:rPr>
        <w:br/>
      </w:r>
    </w:p>
    <w:p w:rsidR="007A0528" w:rsidRPr="00AE02D3" w:rsidRDefault="007A0528" w:rsidP="007A0528">
      <w:pPr>
        <w:pStyle w:val="Overskrift1"/>
        <w:numPr>
          <w:ilvl w:val="0"/>
          <w:numId w:val="0"/>
        </w:numPr>
      </w:pPr>
      <w:bookmarkStart w:id="30" w:name="_Toc34915964"/>
      <w:bookmarkStart w:id="31" w:name="_Toc2771494"/>
      <w:r w:rsidRPr="00AE02D3">
        <w:lastRenderedPageBreak/>
        <w:t>Kapittel 6 Årsrekneskapen</w:t>
      </w:r>
      <w:bookmarkEnd w:id="30"/>
      <w:r w:rsidRPr="00AE02D3">
        <w:tab/>
      </w:r>
    </w:p>
    <w:p w:rsidR="007A0528" w:rsidRPr="00AE02D3" w:rsidRDefault="007A0528" w:rsidP="007A0528">
      <w:pPr>
        <w:rPr>
          <w:b/>
          <w:sz w:val="28"/>
          <w:szCs w:val="28"/>
          <w:lang w:val="nn-NO"/>
        </w:rPr>
      </w:pPr>
    </w:p>
    <w:p w:rsidR="007A0528" w:rsidRPr="00AE02D3" w:rsidRDefault="006777DB" w:rsidP="007A0528">
      <w:pPr>
        <w:rPr>
          <w:b/>
          <w:sz w:val="28"/>
          <w:szCs w:val="28"/>
          <w:lang w:val="nn-NO"/>
        </w:rPr>
      </w:pPr>
      <w:r w:rsidRPr="00AE02D3">
        <w:rPr>
          <w:b/>
          <w:sz w:val="28"/>
          <w:szCs w:val="28"/>
          <w:lang w:val="nn-NO"/>
        </w:rPr>
        <w:t>Leiarkommentarar</w:t>
      </w:r>
      <w:r w:rsidR="007A0528" w:rsidRPr="00AE02D3">
        <w:rPr>
          <w:b/>
          <w:sz w:val="28"/>
          <w:szCs w:val="28"/>
          <w:lang w:val="nn-NO"/>
        </w:rPr>
        <w:t xml:space="preserve"> til årsregnskapet i LDO for 2019</w:t>
      </w:r>
    </w:p>
    <w:p w:rsidR="007A0528" w:rsidRPr="00411472" w:rsidRDefault="007A0528" w:rsidP="007A0528">
      <w:pPr>
        <w:rPr>
          <w:lang w:val="nn-NO"/>
        </w:rPr>
      </w:pPr>
      <w:r w:rsidRPr="00AE02D3">
        <w:rPr>
          <w:b/>
          <w:lang w:val="nn-NO"/>
        </w:rPr>
        <w:t>Kort</w:t>
      </w:r>
      <w:r w:rsidR="006C0C98" w:rsidRPr="00AE02D3">
        <w:rPr>
          <w:b/>
          <w:lang w:val="nn-NO"/>
        </w:rPr>
        <w:t xml:space="preserve"> beskriving av verksemdas fø</w:t>
      </w:r>
      <w:r w:rsidRPr="00AE02D3">
        <w:rPr>
          <w:b/>
          <w:lang w:val="nn-NO"/>
        </w:rPr>
        <w:t>r</w:t>
      </w:r>
      <w:r w:rsidR="006C0C98" w:rsidRPr="00AE02D3">
        <w:rPr>
          <w:b/>
          <w:lang w:val="nn-NO"/>
        </w:rPr>
        <w:t>e</w:t>
      </w:r>
      <w:r w:rsidRPr="00AE02D3">
        <w:rPr>
          <w:b/>
          <w:lang w:val="nn-NO"/>
        </w:rPr>
        <w:t>mål</w:t>
      </w:r>
      <w:r w:rsidRPr="00AE02D3">
        <w:rPr>
          <w:lang w:val="nn-NO"/>
        </w:rPr>
        <w:br/>
        <w:t>Likestillings- og diskrimineringsombo</w:t>
      </w:r>
      <w:r w:rsidR="00C975EE" w:rsidRPr="00AE02D3">
        <w:rPr>
          <w:lang w:val="nn-NO"/>
        </w:rPr>
        <w:t>det (LDO) skal fremj</w:t>
      </w:r>
      <w:r w:rsidRPr="00AE02D3">
        <w:rPr>
          <w:lang w:val="nn-NO"/>
        </w:rPr>
        <w:t xml:space="preserve">e likestilling og kjempe mot diskriminering på grunn av kjønn, etnisitet, religion, funksjonsevne, seksuell orientering, kjønnsidentitet, kjønnsuttrykk og alder. </w:t>
      </w:r>
      <w:r w:rsidRPr="00411472">
        <w:rPr>
          <w:lang w:val="nn-NO"/>
        </w:rPr>
        <w:t>Omb</w:t>
      </w:r>
      <w:r>
        <w:rPr>
          <w:lang w:val="nn-NO"/>
        </w:rPr>
        <w:t>o</w:t>
      </w:r>
      <w:r w:rsidR="00C975EE">
        <w:rPr>
          <w:lang w:val="nn-NO"/>
        </w:rPr>
        <w:t>det gjev</w:t>
      </w:r>
      <w:r w:rsidRPr="00411472">
        <w:rPr>
          <w:lang w:val="nn-NO"/>
        </w:rPr>
        <w:t xml:space="preserve"> rettleiing og er</w:t>
      </w:r>
      <w:r w:rsidRPr="009C46B7">
        <w:rPr>
          <w:lang w:val="nn-NO"/>
        </w:rPr>
        <w:t xml:space="preserve"> ein pådrivar</w:t>
      </w:r>
      <w:r w:rsidRPr="00411472">
        <w:rPr>
          <w:lang w:val="nn-NO"/>
        </w:rPr>
        <w:t xml:space="preserve"> for likestilling og</w:t>
      </w:r>
      <w:r w:rsidRPr="009C46B7">
        <w:rPr>
          <w:lang w:val="nn-NO"/>
        </w:rPr>
        <w:t xml:space="preserve"> mangfald</w:t>
      </w:r>
      <w:r w:rsidRPr="00411472">
        <w:rPr>
          <w:lang w:val="nn-NO"/>
        </w:rPr>
        <w:t>. Ombodet vart oppretta i 2006 og er administrati</w:t>
      </w:r>
      <w:r w:rsidR="00C975EE">
        <w:rPr>
          <w:lang w:val="nn-NO"/>
        </w:rPr>
        <w:t>vt lagt under</w:t>
      </w:r>
      <w:r w:rsidRPr="00411472">
        <w:rPr>
          <w:lang w:val="nn-NO"/>
        </w:rPr>
        <w:t xml:space="preserve"> </w:t>
      </w:r>
      <w:r>
        <w:rPr>
          <w:lang w:val="nn-NO"/>
        </w:rPr>
        <w:t>Kultur- og likestillings</w:t>
      </w:r>
      <w:r w:rsidRPr="00411472">
        <w:rPr>
          <w:lang w:val="nn-NO"/>
        </w:rPr>
        <w:t>departe</w:t>
      </w:r>
      <w:r w:rsidR="00C975EE">
        <w:rPr>
          <w:lang w:val="nn-NO"/>
        </w:rPr>
        <w:t>me</w:t>
      </w:r>
      <w:r w:rsidR="00E57AF3">
        <w:rPr>
          <w:lang w:val="nn-NO"/>
        </w:rPr>
        <w:t>nt</w:t>
      </w:r>
      <w:r w:rsidRPr="00411472">
        <w:rPr>
          <w:lang w:val="nn-NO"/>
        </w:rPr>
        <w:t>et.</w:t>
      </w:r>
    </w:p>
    <w:p w:rsidR="007A0528" w:rsidRPr="00411472" w:rsidRDefault="007A0528" w:rsidP="007A0528">
      <w:pPr>
        <w:rPr>
          <w:lang w:val="nn-NO"/>
        </w:rPr>
      </w:pPr>
      <w:r w:rsidRPr="00411472">
        <w:rPr>
          <w:b/>
          <w:lang w:val="nn-NO"/>
        </w:rPr>
        <w:t>Årsregnskapet er utarbeidd etter reglane i SRS</w:t>
      </w:r>
      <w:r w:rsidRPr="00411472">
        <w:rPr>
          <w:lang w:val="nn-NO"/>
        </w:rPr>
        <w:br/>
        <w:t>Regnskapet er utarbeidd etter reglane i dei anbefalte statlege regnskapsstandarda</w:t>
      </w:r>
      <w:r w:rsidR="00B23E09">
        <w:rPr>
          <w:lang w:val="nn-NO"/>
        </w:rPr>
        <w:t>ne. Eg meiner årsrekneskapen gjev</w:t>
      </w:r>
      <w:r w:rsidRPr="00411472">
        <w:rPr>
          <w:lang w:val="nn-NO"/>
        </w:rPr>
        <w:t xml:space="preserve"> eit dekkande bilete av verksemda sine disponible løyver, rekneskapsførte utgifter, inntekter, eigendelar og gjeld. D</w:t>
      </w:r>
      <w:r w:rsidR="00B75A5F">
        <w:rPr>
          <w:lang w:val="nn-NO"/>
        </w:rPr>
        <w:t>et er Riksrevisjonen som reviderer LDO sin årsre</w:t>
      </w:r>
      <w:r w:rsidRPr="00411472">
        <w:rPr>
          <w:lang w:val="nn-NO"/>
        </w:rPr>
        <w:t>kneskap. Resultatre</w:t>
      </w:r>
      <w:r>
        <w:rPr>
          <w:lang w:val="nn-NO"/>
        </w:rPr>
        <w:t>kne</w:t>
      </w:r>
      <w:r w:rsidRPr="00411472">
        <w:rPr>
          <w:lang w:val="nn-NO"/>
        </w:rPr>
        <w:t xml:space="preserve">skapet og </w:t>
      </w:r>
      <w:r>
        <w:rPr>
          <w:lang w:val="nn-NO"/>
        </w:rPr>
        <w:t>r</w:t>
      </w:r>
      <w:r w:rsidRPr="00411472">
        <w:rPr>
          <w:lang w:val="nn-NO"/>
        </w:rPr>
        <w:t>evisjonsberetninga vil bli å finne på våre heimesider.</w:t>
      </w:r>
    </w:p>
    <w:p w:rsidR="007A0528" w:rsidRPr="00F5282C" w:rsidRDefault="007A0528" w:rsidP="007A0528">
      <w:pPr>
        <w:rPr>
          <w:b/>
          <w:lang w:val="nn-NO"/>
        </w:rPr>
      </w:pPr>
      <w:r w:rsidRPr="00411472">
        <w:rPr>
          <w:b/>
          <w:lang w:val="nn-NO"/>
        </w:rPr>
        <w:t xml:space="preserve">Vurdering av </w:t>
      </w:r>
      <w:r w:rsidR="005B413B">
        <w:rPr>
          <w:b/>
          <w:lang w:val="nn-NO"/>
        </w:rPr>
        <w:t>vesentleg</w:t>
      </w:r>
      <w:r w:rsidRPr="00411472">
        <w:rPr>
          <w:b/>
          <w:lang w:val="nn-NO"/>
        </w:rPr>
        <w:t xml:space="preserve">e forhold  </w:t>
      </w:r>
      <w:r>
        <w:rPr>
          <w:b/>
          <w:lang w:val="nn-NO"/>
        </w:rPr>
        <w:br/>
      </w:r>
      <w:r w:rsidRPr="00411472">
        <w:rPr>
          <w:lang w:val="nn-NO"/>
        </w:rPr>
        <w:t>Løyve frå departe</w:t>
      </w:r>
      <w:r w:rsidR="00AE0867">
        <w:rPr>
          <w:lang w:val="nn-NO"/>
        </w:rPr>
        <w:t>me</w:t>
      </w:r>
      <w:r w:rsidR="00E57AF3">
        <w:rPr>
          <w:lang w:val="nn-NO"/>
        </w:rPr>
        <w:t>nt</w:t>
      </w:r>
      <w:r w:rsidRPr="00411472">
        <w:rPr>
          <w:lang w:val="nn-NO"/>
        </w:rPr>
        <w:t>et i 2019 var på 43 843 000 kroner. Det er ei</w:t>
      </w:r>
      <w:r>
        <w:rPr>
          <w:lang w:val="nn-NO"/>
        </w:rPr>
        <w:t xml:space="preserve"> auke</w:t>
      </w:r>
      <w:r w:rsidRPr="00411472">
        <w:rPr>
          <w:lang w:val="nn-NO"/>
        </w:rPr>
        <w:t xml:space="preserve"> på 1 022 000 kroner sam</w:t>
      </w:r>
      <w:r>
        <w:rPr>
          <w:lang w:val="nn-NO"/>
        </w:rPr>
        <w:t>a</w:t>
      </w:r>
      <w:r w:rsidRPr="00411472">
        <w:rPr>
          <w:lang w:val="nn-NO"/>
        </w:rPr>
        <w:t>nlikna med 2018. I mai 2019 ble</w:t>
      </w:r>
      <w:r w:rsidR="00AE0867">
        <w:rPr>
          <w:lang w:val="nn-NO"/>
        </w:rPr>
        <w:t>i</w:t>
      </w:r>
      <w:r w:rsidRPr="00411472">
        <w:rPr>
          <w:lang w:val="nn-NO"/>
        </w:rPr>
        <w:t xml:space="preserve"> Likestillings- og diskrimineringomb</w:t>
      </w:r>
      <w:r>
        <w:rPr>
          <w:lang w:val="nn-NO"/>
        </w:rPr>
        <w:t>o</w:t>
      </w:r>
      <w:r w:rsidRPr="00411472">
        <w:rPr>
          <w:lang w:val="nn-NO"/>
        </w:rPr>
        <w:t>det lagt under Kultur- og  likestillingsdeparte</w:t>
      </w:r>
      <w:r w:rsidR="00AE0867">
        <w:rPr>
          <w:lang w:val="nn-NO"/>
        </w:rPr>
        <w:t>me</w:t>
      </w:r>
      <w:r w:rsidR="00E57AF3">
        <w:rPr>
          <w:lang w:val="nn-NO"/>
        </w:rPr>
        <w:t>nt</w:t>
      </w:r>
      <w:r w:rsidRPr="00411472">
        <w:rPr>
          <w:lang w:val="nn-NO"/>
        </w:rPr>
        <w:t>et fr</w:t>
      </w:r>
      <w:r>
        <w:rPr>
          <w:lang w:val="nn-NO"/>
        </w:rPr>
        <w:t>å</w:t>
      </w:r>
      <w:r w:rsidRPr="00411472">
        <w:rPr>
          <w:lang w:val="nn-NO"/>
        </w:rPr>
        <w:t xml:space="preserve"> Barne- og likestillingsdeparte</w:t>
      </w:r>
      <w:r w:rsidR="00AE0867">
        <w:rPr>
          <w:lang w:val="nn-NO"/>
        </w:rPr>
        <w:t>me</w:t>
      </w:r>
      <w:r w:rsidR="00E57AF3">
        <w:rPr>
          <w:lang w:val="nn-NO"/>
        </w:rPr>
        <w:t>nt</w:t>
      </w:r>
      <w:r>
        <w:rPr>
          <w:lang w:val="nn-NO"/>
        </w:rPr>
        <w:t>et</w:t>
      </w:r>
      <w:r w:rsidRPr="00411472">
        <w:rPr>
          <w:lang w:val="nn-NO"/>
        </w:rPr>
        <w:t>.</w:t>
      </w:r>
    </w:p>
    <w:p w:rsidR="007A0528" w:rsidRPr="00F5282C" w:rsidRDefault="00AE0867" w:rsidP="007A0528">
      <w:pPr>
        <w:rPr>
          <w:lang w:val="nn-NO"/>
        </w:rPr>
      </w:pPr>
      <w:r>
        <w:rPr>
          <w:lang w:val="nn-NO"/>
        </w:rPr>
        <w:t>Driftskostnada</w:t>
      </w:r>
      <w:r w:rsidR="007A0528" w:rsidRPr="00DF4843">
        <w:rPr>
          <w:lang w:val="nn-NO"/>
        </w:rPr>
        <w:t xml:space="preserve">r 2019 var på 40 009 845 kr. </w:t>
      </w:r>
      <w:r w:rsidR="007A0528" w:rsidRPr="00F5282C">
        <w:rPr>
          <w:lang w:val="nn-NO"/>
        </w:rPr>
        <w:t xml:space="preserve">Tilsvarande tal for 2018 var </w:t>
      </w:r>
      <w:r>
        <w:rPr>
          <w:lang w:val="nn-NO"/>
        </w:rPr>
        <w:t>47 353 846 kroner. Lønnskostnada</w:t>
      </w:r>
      <w:r w:rsidR="007A0528" w:rsidRPr="00F5282C">
        <w:rPr>
          <w:lang w:val="nn-NO"/>
        </w:rPr>
        <w:t>r var på 29 492 950 kroner, løn</w:t>
      </w:r>
      <w:r>
        <w:rPr>
          <w:lang w:val="nn-NO"/>
        </w:rPr>
        <w:t>nsdelen av driftskostnada</w:t>
      </w:r>
      <w:r w:rsidR="007A0528" w:rsidRPr="00F5282C">
        <w:rPr>
          <w:lang w:val="nn-NO"/>
        </w:rPr>
        <w:t xml:space="preserve">r var 73,7 </w:t>
      </w:r>
      <w:r w:rsidR="007A0528">
        <w:rPr>
          <w:lang w:val="nn-NO"/>
        </w:rPr>
        <w:t>prosent</w:t>
      </w:r>
      <w:r w:rsidR="007A0528" w:rsidRPr="00F5282C">
        <w:rPr>
          <w:lang w:val="nn-NO"/>
        </w:rPr>
        <w:t xml:space="preserve"> sam</w:t>
      </w:r>
      <w:r w:rsidR="007A0528">
        <w:rPr>
          <w:lang w:val="nn-NO"/>
        </w:rPr>
        <w:t>a</w:t>
      </w:r>
      <w:r w:rsidR="007A0528" w:rsidRPr="00F5282C">
        <w:rPr>
          <w:lang w:val="nn-NO"/>
        </w:rPr>
        <w:t>nlikn</w:t>
      </w:r>
      <w:r w:rsidR="007A0528">
        <w:rPr>
          <w:lang w:val="nn-NO"/>
        </w:rPr>
        <w:t xml:space="preserve">a </w:t>
      </w:r>
      <w:r w:rsidR="007A0528" w:rsidRPr="00F5282C">
        <w:rPr>
          <w:lang w:val="nn-NO"/>
        </w:rPr>
        <w:t xml:space="preserve">med 70,3 </w:t>
      </w:r>
      <w:r w:rsidR="007A0528">
        <w:rPr>
          <w:lang w:val="nn-NO"/>
        </w:rPr>
        <w:t>prosent</w:t>
      </w:r>
      <w:r w:rsidR="007A0528" w:rsidRPr="00F5282C">
        <w:rPr>
          <w:lang w:val="nn-NO"/>
        </w:rPr>
        <w:t xml:space="preserve"> i 2018.</w:t>
      </w:r>
    </w:p>
    <w:p w:rsidR="007A0528" w:rsidRPr="00AE02D3" w:rsidRDefault="007A0528" w:rsidP="007A0528">
      <w:pPr>
        <w:rPr>
          <w:lang w:val="nn-NO"/>
        </w:rPr>
      </w:pPr>
      <w:r w:rsidRPr="00AE02D3">
        <w:rPr>
          <w:lang w:val="nn-NO"/>
        </w:rPr>
        <w:t>Det ble</w:t>
      </w:r>
      <w:r w:rsidR="00AE0867" w:rsidRPr="00AE02D3">
        <w:rPr>
          <w:lang w:val="nn-NO"/>
        </w:rPr>
        <w:t>i</w:t>
      </w:r>
      <w:r w:rsidRPr="00AE02D3">
        <w:rPr>
          <w:lang w:val="nn-NO"/>
        </w:rPr>
        <w:t xml:space="preserve"> investert i nye nettsider for Likestillings- og diskrimineringsombodet for 839 005 kroner. </w:t>
      </w:r>
      <w:r w:rsidR="00AE0867" w:rsidRPr="00AE02D3">
        <w:rPr>
          <w:lang w:val="nn-NO"/>
        </w:rPr>
        <w:t>Gamalt</w:t>
      </w:r>
      <w:r w:rsidRPr="00AE02D3">
        <w:rPr>
          <w:lang w:val="nn-NO"/>
        </w:rPr>
        <w:t xml:space="preserve"> </w:t>
      </w:r>
      <w:r w:rsidR="00AE0867" w:rsidRPr="00AE02D3">
        <w:rPr>
          <w:lang w:val="nn-NO"/>
        </w:rPr>
        <w:t xml:space="preserve">inventar, tidlegare nettsider </w:t>
      </w:r>
      <w:r w:rsidRPr="00AE02D3">
        <w:rPr>
          <w:lang w:val="nn-NO"/>
        </w:rPr>
        <w:t>og gamle PC</w:t>
      </w:r>
      <w:r w:rsidR="00AE0867" w:rsidRPr="00AE02D3">
        <w:rPr>
          <w:lang w:val="nn-NO"/>
        </w:rPr>
        <w:t>ar</w:t>
      </w:r>
      <w:r w:rsidRPr="00AE02D3">
        <w:rPr>
          <w:lang w:val="nn-NO"/>
        </w:rPr>
        <w:t xml:space="preserve"> til e</w:t>
      </w:r>
      <w:r w:rsidR="00AE0867" w:rsidRPr="00AE02D3">
        <w:rPr>
          <w:lang w:val="nn-NO"/>
        </w:rPr>
        <w:t>i</w:t>
      </w:r>
      <w:r w:rsidRPr="00AE02D3">
        <w:rPr>
          <w:lang w:val="nn-NO"/>
        </w:rPr>
        <w:t xml:space="preserve">n bokført verdi av </w:t>
      </w:r>
      <w:r w:rsidR="00AE0867" w:rsidRPr="00AE02D3">
        <w:rPr>
          <w:lang w:val="nn-NO"/>
        </w:rPr>
        <w:t>to milliona</w:t>
      </w:r>
      <w:r w:rsidRPr="00AE02D3">
        <w:rPr>
          <w:lang w:val="nn-NO"/>
        </w:rPr>
        <w:t xml:space="preserve">r kroner </w:t>
      </w:r>
      <w:r w:rsidR="0053001B" w:rsidRPr="00AE02D3">
        <w:rPr>
          <w:lang w:val="nn-NO"/>
        </w:rPr>
        <w:t>vart rangert ut og sletta i rekneskapen</w:t>
      </w:r>
      <w:r w:rsidRPr="00AE02D3">
        <w:rPr>
          <w:lang w:val="nn-NO"/>
        </w:rPr>
        <w:t xml:space="preserve"> i 2019. </w:t>
      </w:r>
    </w:p>
    <w:p w:rsidR="007A0528" w:rsidRPr="00AE02D3" w:rsidRDefault="00A3558E" w:rsidP="007A0528">
      <w:pPr>
        <w:rPr>
          <w:lang w:val="nn-NO"/>
        </w:rPr>
      </w:pPr>
      <w:r w:rsidRPr="00AE02D3">
        <w:rPr>
          <w:lang w:val="nn-NO"/>
        </w:rPr>
        <w:t>Reisekostnada</w:t>
      </w:r>
      <w:r w:rsidR="007A0528" w:rsidRPr="00AE02D3">
        <w:rPr>
          <w:lang w:val="nn-NO"/>
        </w:rPr>
        <w:t xml:space="preserve">ne var på 618 104 kroner mot 797 389 kroner i 2018, som er 22,5 prosent lågare. </w:t>
      </w:r>
    </w:p>
    <w:p w:rsidR="007A0528" w:rsidRPr="00AE02D3" w:rsidRDefault="007A0528" w:rsidP="007A0528">
      <w:pPr>
        <w:rPr>
          <w:lang w:val="nn-NO"/>
        </w:rPr>
      </w:pPr>
      <w:r w:rsidRPr="00AE02D3">
        <w:rPr>
          <w:lang w:val="nn-NO"/>
        </w:rPr>
        <w:t>Rekneskapen for 2019 med notar er lagt ved årsrapporten i ei PDF-fil.</w:t>
      </w:r>
    </w:p>
    <w:p w:rsidR="007A0528" w:rsidRPr="00AE02D3" w:rsidRDefault="007A0528" w:rsidP="007A0528">
      <w:pPr>
        <w:spacing w:line="360" w:lineRule="auto"/>
        <w:rPr>
          <w:lang w:val="nn-NO"/>
        </w:rPr>
      </w:pPr>
    </w:p>
    <w:tbl>
      <w:tblPr>
        <w:tblStyle w:val="Tabellrutenett"/>
        <w:tblW w:w="9937" w:type="dxa"/>
        <w:tblLayout w:type="fixed"/>
        <w:tblLook w:val="04A0" w:firstRow="1" w:lastRow="0" w:firstColumn="1" w:lastColumn="0" w:noHBand="0" w:noVBand="1"/>
      </w:tblPr>
      <w:tblGrid>
        <w:gridCol w:w="2376"/>
        <w:gridCol w:w="1512"/>
        <w:gridCol w:w="2631"/>
        <w:gridCol w:w="1560"/>
        <w:gridCol w:w="1858"/>
      </w:tblGrid>
      <w:tr w:rsidR="007A0528" w:rsidRPr="00936054" w:rsidTr="002D2511">
        <w:tc>
          <w:tcPr>
            <w:tcW w:w="3888" w:type="dxa"/>
            <w:gridSpan w:val="2"/>
          </w:tcPr>
          <w:p w:rsidR="007A0528" w:rsidRPr="00936054" w:rsidRDefault="007A0528" w:rsidP="002D2511">
            <w:pPr>
              <w:rPr>
                <w:b/>
              </w:rPr>
            </w:pPr>
            <w:r w:rsidRPr="00936054">
              <w:rPr>
                <w:b/>
              </w:rPr>
              <w:t>Etter kontantprinsippet</w:t>
            </w:r>
          </w:p>
        </w:tc>
        <w:tc>
          <w:tcPr>
            <w:tcW w:w="4191" w:type="dxa"/>
            <w:gridSpan w:val="2"/>
          </w:tcPr>
          <w:p w:rsidR="007A0528" w:rsidRPr="00936054" w:rsidRDefault="007A0528" w:rsidP="00CE2A8D">
            <w:pPr>
              <w:rPr>
                <w:b/>
              </w:rPr>
            </w:pPr>
            <w:r w:rsidRPr="00936054">
              <w:rPr>
                <w:b/>
              </w:rPr>
              <w:t>Etter periodisert re</w:t>
            </w:r>
            <w:r w:rsidR="00CE2A8D">
              <w:rPr>
                <w:b/>
              </w:rPr>
              <w:t>kneskap</w:t>
            </w:r>
          </w:p>
        </w:tc>
        <w:tc>
          <w:tcPr>
            <w:tcW w:w="1858" w:type="dxa"/>
          </w:tcPr>
          <w:p w:rsidR="007A0528" w:rsidRPr="00936054" w:rsidRDefault="007A0528" w:rsidP="002D2511">
            <w:pPr>
              <w:rPr>
                <w:b/>
              </w:rPr>
            </w:pPr>
            <w:r w:rsidRPr="00936054">
              <w:rPr>
                <w:b/>
              </w:rPr>
              <w:t>Differanse</w:t>
            </w:r>
          </w:p>
        </w:tc>
      </w:tr>
      <w:tr w:rsidR="007A0528" w:rsidRPr="00936054" w:rsidTr="002D2511">
        <w:tc>
          <w:tcPr>
            <w:tcW w:w="2376" w:type="dxa"/>
          </w:tcPr>
          <w:p w:rsidR="007A0528" w:rsidRPr="00936054" w:rsidRDefault="005726E3" w:rsidP="002D2511">
            <w:r>
              <w:t>Sum innbetalinga</w:t>
            </w:r>
            <w:r w:rsidR="007A0528" w:rsidRPr="00936054">
              <w:t>r</w:t>
            </w:r>
          </w:p>
        </w:tc>
        <w:tc>
          <w:tcPr>
            <w:tcW w:w="1512" w:type="dxa"/>
          </w:tcPr>
          <w:p w:rsidR="007A0528" w:rsidRPr="00936054" w:rsidRDefault="007A0528" w:rsidP="002D2511">
            <w:pPr>
              <w:jc w:val="right"/>
            </w:pPr>
            <w:r>
              <w:t>46 321 254</w:t>
            </w:r>
          </w:p>
        </w:tc>
        <w:tc>
          <w:tcPr>
            <w:tcW w:w="2631" w:type="dxa"/>
          </w:tcPr>
          <w:p w:rsidR="007A0528" w:rsidRPr="00936054" w:rsidRDefault="007A0528" w:rsidP="002D2511">
            <w:r w:rsidRPr="00936054">
              <w:t>Sum driftsinntekter</w:t>
            </w:r>
          </w:p>
        </w:tc>
        <w:tc>
          <w:tcPr>
            <w:tcW w:w="1560" w:type="dxa"/>
          </w:tcPr>
          <w:p w:rsidR="007A0528" w:rsidRPr="00936054" w:rsidRDefault="007A0528" w:rsidP="002D2511">
            <w:pPr>
              <w:jc w:val="right"/>
            </w:pPr>
            <w:r>
              <w:t>40 009 437</w:t>
            </w:r>
          </w:p>
        </w:tc>
        <w:tc>
          <w:tcPr>
            <w:tcW w:w="1858" w:type="dxa"/>
          </w:tcPr>
          <w:p w:rsidR="007A0528" w:rsidRPr="00936054" w:rsidRDefault="007A0528" w:rsidP="002D2511">
            <w:pPr>
              <w:jc w:val="right"/>
            </w:pPr>
            <w:r>
              <w:t>6 311 817</w:t>
            </w:r>
          </w:p>
        </w:tc>
      </w:tr>
      <w:tr w:rsidR="007A0528" w:rsidRPr="00936054" w:rsidTr="002D2511">
        <w:tc>
          <w:tcPr>
            <w:tcW w:w="2376" w:type="dxa"/>
          </w:tcPr>
          <w:p w:rsidR="007A0528" w:rsidRPr="00936054" w:rsidRDefault="007A0528" w:rsidP="002D2511">
            <w:r w:rsidRPr="00936054">
              <w:t xml:space="preserve">Sum </w:t>
            </w:r>
            <w:r w:rsidR="005726E3">
              <w:t>utbetalinga</w:t>
            </w:r>
            <w:r w:rsidRPr="00936054">
              <w:t>r</w:t>
            </w:r>
          </w:p>
        </w:tc>
        <w:tc>
          <w:tcPr>
            <w:tcW w:w="1512" w:type="dxa"/>
          </w:tcPr>
          <w:p w:rsidR="007A0528" w:rsidRPr="00936054" w:rsidRDefault="007A0528" w:rsidP="002D2511">
            <w:pPr>
              <w:jc w:val="right"/>
            </w:pPr>
            <w:r>
              <w:t>42 246 137</w:t>
            </w:r>
          </w:p>
        </w:tc>
        <w:tc>
          <w:tcPr>
            <w:tcW w:w="2631" w:type="dxa"/>
          </w:tcPr>
          <w:p w:rsidR="007A0528" w:rsidRPr="00936054" w:rsidRDefault="006A5DAB" w:rsidP="002D2511">
            <w:r>
              <w:t>Sum driftskostnada</w:t>
            </w:r>
            <w:r w:rsidR="007A0528" w:rsidRPr="00936054">
              <w:t>r</w:t>
            </w:r>
          </w:p>
        </w:tc>
        <w:tc>
          <w:tcPr>
            <w:tcW w:w="1560" w:type="dxa"/>
          </w:tcPr>
          <w:p w:rsidR="007A0528" w:rsidRPr="00936054" w:rsidRDefault="007A0528" w:rsidP="002D2511">
            <w:pPr>
              <w:jc w:val="right"/>
            </w:pPr>
            <w:r>
              <w:t>40 009 845</w:t>
            </w:r>
          </w:p>
        </w:tc>
        <w:tc>
          <w:tcPr>
            <w:tcW w:w="1858" w:type="dxa"/>
          </w:tcPr>
          <w:p w:rsidR="007A0528" w:rsidRPr="00936054" w:rsidRDefault="007A0528" w:rsidP="002D2511">
            <w:pPr>
              <w:jc w:val="right"/>
            </w:pPr>
            <w:r>
              <w:t>2 236 292</w:t>
            </w:r>
          </w:p>
        </w:tc>
      </w:tr>
      <w:tr w:rsidR="007A0528" w:rsidRPr="00936054" w:rsidTr="002D2511">
        <w:tc>
          <w:tcPr>
            <w:tcW w:w="2376" w:type="dxa"/>
          </w:tcPr>
          <w:p w:rsidR="007A0528" w:rsidRPr="00936054" w:rsidRDefault="005726E3" w:rsidP="002D2511">
            <w:r>
              <w:t>Netto kontantstraum</w:t>
            </w:r>
          </w:p>
        </w:tc>
        <w:tc>
          <w:tcPr>
            <w:tcW w:w="1512" w:type="dxa"/>
          </w:tcPr>
          <w:p w:rsidR="007A0528" w:rsidRPr="00936054" w:rsidRDefault="007A0528" w:rsidP="002D2511">
            <w:pPr>
              <w:jc w:val="right"/>
            </w:pPr>
            <w:r>
              <w:t>4 075 117</w:t>
            </w:r>
          </w:p>
        </w:tc>
        <w:tc>
          <w:tcPr>
            <w:tcW w:w="2631" w:type="dxa"/>
          </w:tcPr>
          <w:p w:rsidR="007A0528" w:rsidRPr="00936054" w:rsidRDefault="007A0528" w:rsidP="002D2511">
            <w:r w:rsidRPr="00936054">
              <w:t>Driftsresultat</w:t>
            </w:r>
          </w:p>
        </w:tc>
        <w:tc>
          <w:tcPr>
            <w:tcW w:w="1560" w:type="dxa"/>
          </w:tcPr>
          <w:p w:rsidR="007A0528" w:rsidRPr="00936054" w:rsidRDefault="007A0528" w:rsidP="002D2511">
            <w:pPr>
              <w:jc w:val="right"/>
            </w:pPr>
            <w:r>
              <w:t>-408</w:t>
            </w:r>
          </w:p>
        </w:tc>
        <w:tc>
          <w:tcPr>
            <w:tcW w:w="1858" w:type="dxa"/>
          </w:tcPr>
          <w:p w:rsidR="007A0528" w:rsidRPr="00936054" w:rsidRDefault="007A0528" w:rsidP="002D2511">
            <w:pPr>
              <w:jc w:val="right"/>
            </w:pPr>
            <w:r>
              <w:t>4 075 525</w:t>
            </w:r>
          </w:p>
        </w:tc>
      </w:tr>
    </w:tbl>
    <w:p w:rsidR="007A0528" w:rsidRDefault="007A0528" w:rsidP="007A0528">
      <w:pPr>
        <w:jc w:val="center"/>
        <w:rPr>
          <w:i/>
        </w:rPr>
      </w:pPr>
    </w:p>
    <w:p w:rsidR="007A0528" w:rsidRDefault="001767F0" w:rsidP="007A0528">
      <w:pPr>
        <w:jc w:val="center"/>
        <w:rPr>
          <w:i/>
        </w:rPr>
      </w:pPr>
      <w:r>
        <w:rPr>
          <w:i/>
        </w:rPr>
        <w:t>13</w:t>
      </w:r>
      <w:r w:rsidR="007A0528" w:rsidRPr="00936054">
        <w:rPr>
          <w:i/>
        </w:rPr>
        <w:t xml:space="preserve">. </w:t>
      </w:r>
      <w:r w:rsidR="007A0528">
        <w:rPr>
          <w:i/>
        </w:rPr>
        <w:t>mars</w:t>
      </w:r>
      <w:r w:rsidR="007A0528" w:rsidRPr="00936054">
        <w:rPr>
          <w:i/>
        </w:rPr>
        <w:t xml:space="preserve"> 20</w:t>
      </w:r>
      <w:r w:rsidR="007A0528">
        <w:rPr>
          <w:i/>
        </w:rPr>
        <w:t>20</w:t>
      </w:r>
    </w:p>
    <w:p w:rsidR="007A0528" w:rsidRDefault="007A0528" w:rsidP="007A0528">
      <w:pPr>
        <w:jc w:val="center"/>
      </w:pPr>
      <w:r w:rsidRPr="00936054">
        <w:rPr>
          <w:i/>
        </w:rPr>
        <w:br/>
      </w:r>
      <w:r w:rsidRPr="00936054">
        <w:t xml:space="preserve">Hanne Inger Bjurstrøm </w:t>
      </w:r>
      <w:r w:rsidRPr="00936054">
        <w:br/>
      </w:r>
      <w:r>
        <w:t>l</w:t>
      </w:r>
      <w:r w:rsidRPr="00936054">
        <w:t>ikestillings- og diskrimineringsomb</w:t>
      </w:r>
      <w:r>
        <w:t>o</w:t>
      </w:r>
      <w:r w:rsidRPr="00936054">
        <w:t>d</w:t>
      </w:r>
    </w:p>
    <w:bookmarkEnd w:id="31"/>
    <w:p w:rsidR="007A0528" w:rsidRDefault="007A0528" w:rsidP="007A0528">
      <w:pPr>
        <w:rPr>
          <w:b/>
          <w:sz w:val="28"/>
          <w:szCs w:val="28"/>
          <w:lang w:val="nn-NO"/>
        </w:rPr>
      </w:pPr>
    </w:p>
    <w:p w:rsidR="007A0528" w:rsidRPr="00DB0344" w:rsidRDefault="007A0528" w:rsidP="007A0528">
      <w:pPr>
        <w:rPr>
          <w:lang w:val="nn-NO"/>
        </w:rPr>
      </w:pPr>
      <w:r w:rsidRPr="00DB0344">
        <w:rPr>
          <w:rFonts w:eastAsiaTheme="minorHAnsi"/>
          <w:b/>
          <w:sz w:val="28"/>
          <w:szCs w:val="28"/>
          <w:lang w:val="nn-NO" w:eastAsia="en-US"/>
        </w:rPr>
        <w:lastRenderedPageBreak/>
        <w:t>Prinsippnote til årsrekneskapen 201</w:t>
      </w:r>
      <w:r>
        <w:rPr>
          <w:rFonts w:eastAsiaTheme="minorHAnsi"/>
          <w:b/>
          <w:sz w:val="28"/>
          <w:szCs w:val="28"/>
          <w:lang w:val="nn-NO" w:eastAsia="en-US"/>
        </w:rPr>
        <w:t>9</w:t>
      </w:r>
      <w:r w:rsidRPr="00DB0344">
        <w:rPr>
          <w:rFonts w:eastAsiaTheme="minorHAnsi"/>
          <w:b/>
          <w:sz w:val="28"/>
          <w:szCs w:val="28"/>
          <w:lang w:val="nn-NO" w:eastAsia="en-US"/>
        </w:rPr>
        <w:t xml:space="preserve"> </w:t>
      </w:r>
      <w:r w:rsidRPr="00DB0344">
        <w:rPr>
          <w:rFonts w:eastAsiaTheme="minorHAnsi"/>
          <w:b/>
          <w:sz w:val="28"/>
          <w:szCs w:val="28"/>
          <w:lang w:val="nn-NO" w:eastAsia="en-US"/>
        </w:rPr>
        <w:br/>
      </w:r>
      <w:r w:rsidRPr="002B0C46">
        <w:rPr>
          <w:rFonts w:eastAsiaTheme="minorHAnsi"/>
          <w:b/>
          <w:sz w:val="28"/>
          <w:szCs w:val="28"/>
          <w:lang w:val="nn-NO" w:eastAsia="en-US"/>
        </w:rPr>
        <w:t>Verksemdsrekneskap avlagt if</w:t>
      </w:r>
      <w:r>
        <w:rPr>
          <w:rFonts w:eastAsiaTheme="minorHAnsi"/>
          <w:b/>
          <w:sz w:val="28"/>
          <w:szCs w:val="28"/>
          <w:lang w:val="nn-NO" w:eastAsia="en-US"/>
        </w:rPr>
        <w:t>ø</w:t>
      </w:r>
      <w:r w:rsidRPr="002B0C46">
        <w:rPr>
          <w:rFonts w:eastAsiaTheme="minorHAnsi"/>
          <w:b/>
          <w:sz w:val="28"/>
          <w:szCs w:val="28"/>
          <w:lang w:val="nn-NO" w:eastAsia="en-US"/>
        </w:rPr>
        <w:t>lgje dei statlege rekneskapsstandardane (SRS)</w:t>
      </w:r>
      <w:r w:rsidRPr="002B0C46">
        <w:rPr>
          <w:rFonts w:eastAsiaTheme="minorHAnsi"/>
          <w:b/>
          <w:sz w:val="28"/>
          <w:szCs w:val="28"/>
          <w:lang w:val="nn-NO" w:eastAsia="en-US"/>
        </w:rPr>
        <w:br/>
      </w:r>
    </w:p>
    <w:p w:rsidR="007A0528" w:rsidRPr="002B0C46" w:rsidRDefault="007A0528" w:rsidP="007A0528">
      <w:pPr>
        <w:spacing w:before="0" w:after="160" w:line="259" w:lineRule="auto"/>
        <w:rPr>
          <w:rFonts w:eastAsiaTheme="minorHAnsi"/>
          <w:lang w:val="nn-NO" w:eastAsia="en-US"/>
        </w:rPr>
      </w:pPr>
      <w:r w:rsidRPr="002B0C46">
        <w:rPr>
          <w:rFonts w:eastAsiaTheme="minorHAnsi"/>
          <w:lang w:val="nn-NO" w:eastAsia="en-US"/>
        </w:rPr>
        <w:t>Rekneskapen for verksemda er s</w:t>
      </w:r>
      <w:r>
        <w:rPr>
          <w:rFonts w:eastAsiaTheme="minorHAnsi"/>
          <w:lang w:val="nn-NO" w:eastAsia="en-US"/>
        </w:rPr>
        <w:t>e</w:t>
      </w:r>
      <w:r w:rsidRPr="002B0C46">
        <w:rPr>
          <w:rFonts w:eastAsiaTheme="minorHAnsi"/>
          <w:lang w:val="nn-NO" w:eastAsia="en-US"/>
        </w:rPr>
        <w:t>tt opp i samsvar med de</w:t>
      </w:r>
      <w:r>
        <w:rPr>
          <w:rFonts w:eastAsiaTheme="minorHAnsi"/>
          <w:lang w:val="nn-NO" w:eastAsia="en-US"/>
        </w:rPr>
        <w:t>i</w:t>
      </w:r>
      <w:r w:rsidRPr="002B0C46">
        <w:rPr>
          <w:rFonts w:eastAsiaTheme="minorHAnsi"/>
          <w:lang w:val="nn-NO" w:eastAsia="en-US"/>
        </w:rPr>
        <w:t xml:space="preserve"> gjeldande statlege rekneskapsstandardane (SRS).</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Transaksjonsbaserte inntekter</w:t>
      </w:r>
      <w:r w:rsidRPr="002B0C46">
        <w:rPr>
          <w:rFonts w:eastAsiaTheme="minorHAnsi"/>
          <w:lang w:val="nn-NO" w:eastAsia="en-US"/>
        </w:rPr>
        <w:br/>
        <w:t>Inntekt skal resultatfør</w:t>
      </w:r>
      <w:r>
        <w:rPr>
          <w:rFonts w:eastAsiaTheme="minorHAnsi"/>
          <w:lang w:val="nn-NO" w:eastAsia="en-US"/>
        </w:rPr>
        <w:t>a</w:t>
      </w:r>
      <w:r w:rsidRPr="002B0C46">
        <w:rPr>
          <w:rFonts w:eastAsiaTheme="minorHAnsi"/>
          <w:lang w:val="nn-NO" w:eastAsia="en-US"/>
        </w:rPr>
        <w:t>s</w:t>
      </w:r>
      <w:r>
        <w:rPr>
          <w:rFonts w:eastAsiaTheme="minorHAnsi"/>
          <w:lang w:val="nn-NO" w:eastAsia="en-US"/>
        </w:rPr>
        <w:t>t</w:t>
      </w:r>
      <w:r w:rsidRPr="002B0C46">
        <w:rPr>
          <w:rFonts w:eastAsiaTheme="minorHAnsi"/>
          <w:lang w:val="nn-NO" w:eastAsia="en-US"/>
        </w:rPr>
        <w:t xml:space="preserve"> når den er opptent. Transaksjon</w:t>
      </w:r>
      <w:r>
        <w:rPr>
          <w:rFonts w:eastAsiaTheme="minorHAnsi"/>
          <w:lang w:val="nn-NO" w:eastAsia="en-US"/>
        </w:rPr>
        <w:t>a</w:t>
      </w:r>
      <w:r w:rsidRPr="002B0C46">
        <w:rPr>
          <w:rFonts w:eastAsiaTheme="minorHAnsi"/>
          <w:lang w:val="nn-NO" w:eastAsia="en-US"/>
        </w:rPr>
        <w:t xml:space="preserve">r </w:t>
      </w:r>
      <w:r>
        <w:rPr>
          <w:rFonts w:eastAsiaTheme="minorHAnsi"/>
          <w:lang w:val="nn-NO" w:eastAsia="en-US"/>
        </w:rPr>
        <w:t xml:space="preserve">vert </w:t>
      </w:r>
      <w:r w:rsidRPr="002B0C46">
        <w:rPr>
          <w:rFonts w:eastAsiaTheme="minorHAnsi"/>
          <w:lang w:val="nn-NO" w:eastAsia="en-US"/>
        </w:rPr>
        <w:t>resultatfør</w:t>
      </w:r>
      <w:r>
        <w:rPr>
          <w:rFonts w:eastAsiaTheme="minorHAnsi"/>
          <w:lang w:val="nn-NO" w:eastAsia="en-US"/>
        </w:rPr>
        <w:t>t</w:t>
      </w:r>
      <w:r w:rsidRPr="002B0C46">
        <w:rPr>
          <w:rFonts w:eastAsiaTheme="minorHAnsi"/>
          <w:lang w:val="nn-NO" w:eastAsia="en-US"/>
        </w:rPr>
        <w:t xml:space="preserve"> til verdien av vederlaget på transaksjonstidspunktet. Inntektsføring ved sal av varer skjer på leveringstidspunktet. Sal av tenester </w:t>
      </w:r>
      <w:r>
        <w:rPr>
          <w:rFonts w:eastAsiaTheme="minorHAnsi"/>
          <w:lang w:val="nn-NO" w:eastAsia="en-US"/>
        </w:rPr>
        <w:t xml:space="preserve">vert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xml:space="preserve"> i takt med gjennomføringa. </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Inntekter frå løyvefinansierte aktivitetar</w:t>
      </w:r>
      <w:r w:rsidRPr="002B0C46">
        <w:rPr>
          <w:rFonts w:eastAsiaTheme="minorHAnsi"/>
          <w:lang w:val="nn-NO" w:eastAsia="en-US"/>
        </w:rPr>
        <w:br/>
        <w:t>Løyv</w:t>
      </w:r>
      <w:r>
        <w:rPr>
          <w:rFonts w:eastAsiaTheme="minorHAnsi"/>
          <w:lang w:val="nn-NO" w:eastAsia="en-US"/>
        </w:rPr>
        <w:t>ingar</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xml:space="preserve"> i perioden d</w:t>
      </w:r>
      <w:r>
        <w:rPr>
          <w:rFonts w:eastAsiaTheme="minorHAnsi"/>
          <w:lang w:val="nn-NO" w:eastAsia="en-US"/>
        </w:rPr>
        <w:t>å</w:t>
      </w:r>
      <w:r w:rsidRPr="002B0C46">
        <w:rPr>
          <w:rFonts w:eastAsiaTheme="minorHAnsi"/>
          <w:lang w:val="nn-NO" w:eastAsia="en-US"/>
        </w:rPr>
        <w:t xml:space="preserve"> aktiviteten er utført. Det vil si i den perioden kostnadane kom. I årsrekneskapen er </w:t>
      </w:r>
      <w:r>
        <w:rPr>
          <w:rFonts w:eastAsiaTheme="minorHAnsi"/>
          <w:lang w:val="nn-NO" w:eastAsia="en-US"/>
        </w:rPr>
        <w:t>den</w:t>
      </w:r>
      <w:r w:rsidRPr="002B0C46">
        <w:rPr>
          <w:rFonts w:eastAsiaTheme="minorHAnsi"/>
          <w:lang w:val="nn-NO" w:eastAsia="en-US"/>
        </w:rPr>
        <w:t xml:space="preserve"> endelege løyv</w:t>
      </w:r>
      <w:r>
        <w:rPr>
          <w:rFonts w:eastAsiaTheme="minorHAnsi"/>
          <w:lang w:val="nn-NO" w:eastAsia="en-US"/>
        </w:rPr>
        <w:t>inga for året</w:t>
      </w:r>
      <w:r w:rsidRPr="002B0C46">
        <w:rPr>
          <w:rFonts w:eastAsiaTheme="minorHAnsi"/>
          <w:lang w:val="nn-NO" w:eastAsia="en-US"/>
        </w:rPr>
        <w:t xml:space="preserve"> til drift inntektsført.</w:t>
      </w:r>
    </w:p>
    <w:p w:rsidR="007A0528" w:rsidRPr="002B0C46" w:rsidRDefault="007A0528" w:rsidP="007A0528">
      <w:pPr>
        <w:spacing w:before="0" w:after="160" w:line="259" w:lineRule="auto"/>
        <w:rPr>
          <w:rFonts w:eastAsiaTheme="minorHAnsi"/>
          <w:lang w:val="nn-NO" w:eastAsia="en-US"/>
        </w:rPr>
      </w:pPr>
      <w:r w:rsidRPr="002B0C46">
        <w:rPr>
          <w:rFonts w:eastAsiaTheme="minorHAnsi"/>
          <w:lang w:val="nn-NO" w:eastAsia="en-US"/>
        </w:rPr>
        <w:t>Løyv</w:t>
      </w:r>
      <w:r>
        <w:rPr>
          <w:rFonts w:eastAsiaTheme="minorHAnsi"/>
          <w:lang w:val="nn-NO" w:eastAsia="en-US"/>
        </w:rPr>
        <w:t>ing</w:t>
      </w:r>
      <w:r w:rsidRPr="002B0C46">
        <w:rPr>
          <w:rFonts w:eastAsiaTheme="minorHAnsi"/>
          <w:lang w:val="nn-NO" w:eastAsia="en-US"/>
        </w:rPr>
        <w:t xml:space="preserve"> brukt til investeringar </w:t>
      </w:r>
      <w:r>
        <w:rPr>
          <w:rFonts w:eastAsiaTheme="minorHAnsi"/>
          <w:lang w:val="nn-NO" w:eastAsia="en-US"/>
        </w:rPr>
        <w:t xml:space="preserve">vert </w:t>
      </w:r>
      <w:r w:rsidRPr="002B0C46">
        <w:rPr>
          <w:rFonts w:eastAsiaTheme="minorHAnsi"/>
          <w:lang w:val="nn-NO" w:eastAsia="en-US"/>
        </w:rPr>
        <w:t>ført på rekneskapslina ikkje inntektsført løyv</w:t>
      </w:r>
      <w:r>
        <w:rPr>
          <w:rFonts w:eastAsiaTheme="minorHAnsi"/>
          <w:lang w:val="nn-NO" w:eastAsia="en-US"/>
        </w:rPr>
        <w:t>ing</w:t>
      </w:r>
      <w:r w:rsidRPr="002B0C46">
        <w:rPr>
          <w:rFonts w:eastAsiaTheme="minorHAnsi"/>
          <w:lang w:val="nn-NO" w:eastAsia="en-US"/>
        </w:rPr>
        <w:t xml:space="preserve"> knytt til anlegg i balansen med det beløpet som faktisk er investert i 201</w:t>
      </w:r>
      <w:r>
        <w:rPr>
          <w:rFonts w:eastAsiaTheme="minorHAnsi"/>
          <w:lang w:val="nn-NO" w:eastAsia="en-US"/>
        </w:rPr>
        <w:t>9</w:t>
      </w:r>
      <w:r w:rsidRPr="002B0C46">
        <w:rPr>
          <w:rFonts w:eastAsiaTheme="minorHAnsi"/>
          <w:lang w:val="nn-NO" w:eastAsia="en-US"/>
        </w:rPr>
        <w:t>. Inntektsføring av løyv</w:t>
      </w:r>
      <w:r>
        <w:rPr>
          <w:rFonts w:eastAsiaTheme="minorHAnsi"/>
          <w:lang w:val="nn-NO" w:eastAsia="en-US"/>
        </w:rPr>
        <w:t>ing</w:t>
      </w:r>
      <w:r w:rsidRPr="002B0C46">
        <w:rPr>
          <w:rFonts w:eastAsiaTheme="minorHAnsi"/>
          <w:lang w:val="nn-NO" w:eastAsia="en-US"/>
        </w:rPr>
        <w:t xml:space="preserve"> brukt til investering skjer i takt med avskriving</w:t>
      </w:r>
      <w:r>
        <w:rPr>
          <w:rFonts w:eastAsiaTheme="minorHAnsi"/>
          <w:lang w:val="nn-NO" w:eastAsia="en-US"/>
        </w:rPr>
        <w:t>a</w:t>
      </w:r>
      <w:r w:rsidRPr="002B0C46">
        <w:rPr>
          <w:rFonts w:eastAsiaTheme="minorHAnsi"/>
          <w:lang w:val="nn-NO" w:eastAsia="en-US"/>
        </w:rPr>
        <w:t>ne av anleggsmid</w:t>
      </w:r>
      <w:r>
        <w:rPr>
          <w:rFonts w:eastAsiaTheme="minorHAnsi"/>
          <w:lang w:val="nn-NO" w:eastAsia="en-US"/>
        </w:rPr>
        <w:t>del</w:t>
      </w:r>
      <w:r w:rsidRPr="002B0C46">
        <w:rPr>
          <w:rFonts w:eastAsiaTheme="minorHAnsi"/>
          <w:lang w:val="nn-NO" w:eastAsia="en-US"/>
        </w:rPr>
        <w:t>. Overførbare investeringsløyv</w:t>
      </w:r>
      <w:r>
        <w:rPr>
          <w:rFonts w:eastAsiaTheme="minorHAnsi"/>
          <w:lang w:val="nn-NO" w:eastAsia="en-US"/>
        </w:rPr>
        <w:t>inga</w:t>
      </w:r>
      <w:r w:rsidRPr="002B0C46">
        <w:rPr>
          <w:rFonts w:eastAsiaTheme="minorHAnsi"/>
          <w:lang w:val="nn-NO" w:eastAsia="en-US"/>
        </w:rPr>
        <w:t xml:space="preserve">r </w:t>
      </w:r>
      <w:r>
        <w:rPr>
          <w:rFonts w:eastAsiaTheme="minorHAnsi"/>
          <w:lang w:val="nn-NO" w:eastAsia="en-US"/>
        </w:rPr>
        <w:t xml:space="preserve">vert ikkje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Kostnadar</w:t>
      </w:r>
      <w:r w:rsidRPr="002B0C46">
        <w:rPr>
          <w:rFonts w:eastAsiaTheme="minorHAnsi"/>
          <w:lang w:val="nn-NO" w:eastAsia="en-US"/>
        </w:rPr>
        <w:br/>
        <w:t xml:space="preserve">Utgifter som gjeld transaksjonbaserte inntekter </w:t>
      </w:r>
      <w:r>
        <w:rPr>
          <w:rFonts w:eastAsiaTheme="minorHAnsi"/>
          <w:lang w:val="nn-NO" w:eastAsia="en-US"/>
        </w:rPr>
        <w:t xml:space="preserve">vert </w:t>
      </w:r>
      <w:r w:rsidRPr="002B0C46">
        <w:rPr>
          <w:rFonts w:eastAsiaTheme="minorHAnsi"/>
          <w:lang w:val="nn-NO" w:eastAsia="en-US"/>
        </w:rPr>
        <w:t>kostnadsfør</w:t>
      </w:r>
      <w:r>
        <w:rPr>
          <w:rFonts w:eastAsiaTheme="minorHAnsi"/>
          <w:lang w:val="nn-NO" w:eastAsia="en-US"/>
        </w:rPr>
        <w:t>t</w:t>
      </w:r>
      <w:r w:rsidRPr="002B0C46">
        <w:rPr>
          <w:rFonts w:eastAsiaTheme="minorHAnsi"/>
          <w:lang w:val="nn-NO" w:eastAsia="en-US"/>
        </w:rPr>
        <w:t xml:space="preserve"> i same periode som tilhøyrande inntekt. Utgifter som </w:t>
      </w:r>
      <w:r>
        <w:rPr>
          <w:rFonts w:eastAsiaTheme="minorHAnsi"/>
          <w:lang w:val="nn-NO" w:eastAsia="en-US"/>
        </w:rPr>
        <w:t xml:space="preserve">vert </w:t>
      </w:r>
      <w:r w:rsidRPr="002B0C46">
        <w:rPr>
          <w:rFonts w:eastAsiaTheme="minorHAnsi"/>
          <w:lang w:val="nn-NO" w:eastAsia="en-US"/>
        </w:rPr>
        <w:t>finansiert med løyv</w:t>
      </w:r>
      <w:r>
        <w:rPr>
          <w:rFonts w:eastAsiaTheme="minorHAnsi"/>
          <w:lang w:val="nn-NO" w:eastAsia="en-US"/>
        </w:rPr>
        <w:t>ing</w:t>
      </w:r>
      <w:r w:rsidRPr="002B0C46">
        <w:rPr>
          <w:rFonts w:eastAsiaTheme="minorHAnsi"/>
          <w:lang w:val="nn-NO" w:eastAsia="en-US"/>
        </w:rPr>
        <w:t xml:space="preserve">, tilskot og overføringar </w:t>
      </w:r>
      <w:r>
        <w:rPr>
          <w:rFonts w:eastAsiaTheme="minorHAnsi"/>
          <w:lang w:val="nn-NO" w:eastAsia="en-US"/>
        </w:rPr>
        <w:t xml:space="preserve">vert </w:t>
      </w:r>
      <w:r w:rsidRPr="002B0C46">
        <w:rPr>
          <w:rFonts w:eastAsiaTheme="minorHAnsi"/>
          <w:lang w:val="nn-NO" w:eastAsia="en-US"/>
        </w:rPr>
        <w:t>kostnadsfør</w:t>
      </w:r>
      <w:r>
        <w:rPr>
          <w:rFonts w:eastAsiaTheme="minorHAnsi"/>
          <w:lang w:val="nn-NO" w:eastAsia="en-US"/>
        </w:rPr>
        <w:t>t</w:t>
      </w:r>
      <w:r w:rsidRPr="002B0C46">
        <w:rPr>
          <w:rFonts w:eastAsiaTheme="minorHAnsi"/>
          <w:lang w:val="nn-NO" w:eastAsia="en-US"/>
        </w:rPr>
        <w:t xml:space="preserve"> i takt med at aktivitetane </w:t>
      </w:r>
      <w:r>
        <w:rPr>
          <w:rFonts w:eastAsiaTheme="minorHAnsi"/>
          <w:lang w:val="nn-NO" w:eastAsia="en-US"/>
        </w:rPr>
        <w:t xml:space="preserve">vert </w:t>
      </w:r>
      <w:r w:rsidRPr="002B0C46">
        <w:rPr>
          <w:rFonts w:eastAsiaTheme="minorHAnsi"/>
          <w:lang w:val="nn-NO" w:eastAsia="en-US"/>
        </w:rPr>
        <w:t>utfør</w:t>
      </w:r>
      <w:r>
        <w:rPr>
          <w:rFonts w:eastAsiaTheme="minorHAnsi"/>
          <w:lang w:val="nn-NO" w:eastAsia="en-US"/>
        </w:rPr>
        <w:t>t</w:t>
      </w:r>
      <w:r w:rsidRPr="002B0C46">
        <w:rPr>
          <w:rFonts w:eastAsiaTheme="minorHAnsi"/>
          <w:lang w:val="nn-NO" w:eastAsia="en-US"/>
        </w:rPr>
        <w:t xml:space="preserve">. </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Pensjonar</w:t>
      </w:r>
      <w:r w:rsidRPr="002B0C46">
        <w:rPr>
          <w:rFonts w:eastAsiaTheme="minorHAnsi"/>
          <w:lang w:val="nn-NO" w:eastAsia="en-US"/>
        </w:rPr>
        <w:br/>
        <w:t>SRS 25 legg til grunn ei forenkla tilnærming til pensjonar. Det er f</w:t>
      </w:r>
      <w:r>
        <w:rPr>
          <w:rFonts w:eastAsiaTheme="minorHAnsi"/>
          <w:lang w:val="nn-NO" w:eastAsia="en-US"/>
        </w:rPr>
        <w:t>ø</w:t>
      </w:r>
      <w:r w:rsidRPr="002B0C46">
        <w:rPr>
          <w:rFonts w:eastAsiaTheme="minorHAnsi"/>
          <w:lang w:val="nn-NO" w:eastAsia="en-US"/>
        </w:rPr>
        <w:t>lg</w:t>
      </w:r>
      <w:r>
        <w:rPr>
          <w:rFonts w:eastAsiaTheme="minorHAnsi"/>
          <w:lang w:val="nn-NO" w:eastAsia="en-US"/>
        </w:rPr>
        <w:t>j</w:t>
      </w:r>
      <w:r w:rsidRPr="002B0C46">
        <w:rPr>
          <w:rFonts w:eastAsiaTheme="minorHAnsi"/>
          <w:lang w:val="nn-NO" w:eastAsia="en-US"/>
        </w:rPr>
        <w:t>el</w:t>
      </w:r>
      <w:r>
        <w:rPr>
          <w:rFonts w:eastAsiaTheme="minorHAnsi"/>
          <w:lang w:val="nn-NO" w:eastAsia="en-US"/>
        </w:rPr>
        <w:t>e</w:t>
      </w:r>
      <w:r w:rsidRPr="002B0C46">
        <w:rPr>
          <w:rFonts w:eastAsiaTheme="minorHAnsi"/>
          <w:lang w:val="nn-NO" w:eastAsia="en-US"/>
        </w:rPr>
        <w:t>g ikkje gjort berekningar eller avsetningar for eventuell over-/underdekning i pensjonsordning som for NRS 6. Året</w:t>
      </w:r>
      <w:r>
        <w:rPr>
          <w:rFonts w:eastAsiaTheme="minorHAnsi"/>
          <w:lang w:val="nn-NO" w:eastAsia="en-US"/>
        </w:rPr>
        <w:t xml:space="preserve"> </w:t>
      </w:r>
      <w:r w:rsidRPr="002B0C46">
        <w:rPr>
          <w:rFonts w:eastAsiaTheme="minorHAnsi"/>
          <w:lang w:val="nn-NO" w:eastAsia="en-US"/>
        </w:rPr>
        <w:t>s</w:t>
      </w:r>
      <w:r>
        <w:rPr>
          <w:rFonts w:eastAsiaTheme="minorHAnsi"/>
          <w:lang w:val="nn-NO" w:eastAsia="en-US"/>
        </w:rPr>
        <w:t>in</w:t>
      </w:r>
      <w:r w:rsidRPr="002B0C46">
        <w:rPr>
          <w:rFonts w:eastAsiaTheme="minorHAnsi"/>
          <w:lang w:val="nn-NO" w:eastAsia="en-US"/>
        </w:rPr>
        <w:t xml:space="preserve"> pensjonskostnad er difor det same beløp</w:t>
      </w:r>
      <w:r>
        <w:rPr>
          <w:rFonts w:eastAsiaTheme="minorHAnsi"/>
          <w:lang w:val="nn-NO" w:eastAsia="en-US"/>
        </w:rPr>
        <w:t>et</w:t>
      </w:r>
      <w:r w:rsidRPr="002B0C46">
        <w:rPr>
          <w:rFonts w:eastAsiaTheme="minorHAnsi"/>
          <w:lang w:val="nn-NO" w:eastAsia="en-US"/>
        </w:rPr>
        <w:t xml:space="preserve"> som årleg premiebeløp til Statens pensjonskasse (SPK). </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Klassifisering og vurdering av balansepostar</w:t>
      </w:r>
      <w:r w:rsidRPr="002B0C46">
        <w:rPr>
          <w:rFonts w:eastAsiaTheme="minorHAnsi"/>
          <w:lang w:val="nn-NO" w:eastAsia="en-US"/>
        </w:rPr>
        <w:br/>
        <w:t>Omløpsmid</w:t>
      </w:r>
      <w:r>
        <w:rPr>
          <w:rFonts w:eastAsiaTheme="minorHAnsi"/>
          <w:lang w:val="nn-NO" w:eastAsia="en-US"/>
        </w:rPr>
        <w:t>del</w:t>
      </w:r>
      <w:r w:rsidRPr="002B0C46">
        <w:rPr>
          <w:rFonts w:eastAsiaTheme="minorHAnsi"/>
          <w:lang w:val="nn-NO" w:eastAsia="en-US"/>
        </w:rPr>
        <w:t xml:space="preserve"> og kortsiktig</w:t>
      </w:r>
      <w:r>
        <w:rPr>
          <w:rFonts w:eastAsiaTheme="minorHAnsi"/>
          <w:lang w:val="nn-NO" w:eastAsia="en-US"/>
        </w:rPr>
        <w:t xml:space="preserve"> gjeld omfattar postar som forfe</w:t>
      </w:r>
      <w:r w:rsidRPr="002B0C46">
        <w:rPr>
          <w:rFonts w:eastAsiaTheme="minorHAnsi"/>
          <w:lang w:val="nn-NO" w:eastAsia="en-US"/>
        </w:rPr>
        <w:t>ll til betaling innan eitt år etter</w:t>
      </w:r>
      <w:r>
        <w:rPr>
          <w:rFonts w:eastAsiaTheme="minorHAnsi"/>
          <w:lang w:val="nn-NO" w:eastAsia="en-US"/>
        </w:rPr>
        <w:t xml:space="preserve"> anskaffinga og postar som knyt</w:t>
      </w:r>
      <w:r w:rsidRPr="002B0C46">
        <w:rPr>
          <w:rFonts w:eastAsiaTheme="minorHAnsi"/>
          <w:lang w:val="nn-NO" w:eastAsia="en-US"/>
        </w:rPr>
        <w:t xml:space="preserve"> seg til varekretsløpet. Andre postar er klassifisert som anleggsmiddel/langsiktig gjeld.</w:t>
      </w:r>
    </w:p>
    <w:p w:rsidR="007A0528" w:rsidRPr="0084232E" w:rsidRDefault="007A0528" w:rsidP="007A0528">
      <w:pPr>
        <w:spacing w:before="0" w:after="160" w:line="259" w:lineRule="auto"/>
        <w:rPr>
          <w:rFonts w:eastAsiaTheme="minorHAnsi"/>
          <w:lang w:val="nn-NO" w:eastAsia="en-US"/>
        </w:rPr>
      </w:pPr>
      <w:r w:rsidRPr="002B0C46">
        <w:rPr>
          <w:rFonts w:eastAsiaTheme="minorHAnsi"/>
          <w:lang w:val="nn-NO" w:eastAsia="en-US"/>
        </w:rPr>
        <w:t>Omløpsmid</w:t>
      </w:r>
      <w:r>
        <w:rPr>
          <w:rFonts w:eastAsiaTheme="minorHAnsi"/>
          <w:lang w:val="nn-NO" w:eastAsia="en-US"/>
        </w:rPr>
        <w:t>del</w:t>
      </w:r>
      <w:r w:rsidRPr="002B0C46">
        <w:rPr>
          <w:rFonts w:eastAsiaTheme="minorHAnsi"/>
          <w:lang w:val="nn-NO" w:eastAsia="en-US"/>
        </w:rPr>
        <w:t xml:space="preserve"> er sett til det lågaste av kost</w:t>
      </w:r>
      <w:r>
        <w:rPr>
          <w:rFonts w:eastAsiaTheme="minorHAnsi"/>
          <w:lang w:val="nn-NO" w:eastAsia="en-US"/>
        </w:rPr>
        <w:t>na</w:t>
      </w:r>
      <w:r w:rsidRPr="002B0C46">
        <w:rPr>
          <w:rFonts w:eastAsiaTheme="minorHAnsi"/>
          <w:lang w:val="nn-NO" w:eastAsia="en-US"/>
        </w:rPr>
        <w:t>d til anskaffing og verkel</w:t>
      </w:r>
      <w:r>
        <w:rPr>
          <w:rFonts w:eastAsiaTheme="minorHAnsi"/>
          <w:lang w:val="nn-NO" w:eastAsia="en-US"/>
        </w:rPr>
        <w:t>e</w:t>
      </w:r>
      <w:r w:rsidRPr="002B0C46">
        <w:rPr>
          <w:rFonts w:eastAsiaTheme="minorHAnsi"/>
          <w:lang w:val="nn-NO" w:eastAsia="en-US"/>
        </w:rPr>
        <w:t xml:space="preserve">g verdi. </w:t>
      </w:r>
      <w:r w:rsidRPr="0084232E">
        <w:rPr>
          <w:rFonts w:eastAsiaTheme="minorHAnsi"/>
          <w:lang w:val="nn-NO" w:eastAsia="en-US"/>
        </w:rPr>
        <w:t xml:space="preserve">Kortsiktig gjeld </w:t>
      </w:r>
      <w:r>
        <w:rPr>
          <w:rFonts w:eastAsiaTheme="minorHAnsi"/>
          <w:lang w:val="nn-NO" w:eastAsia="en-US"/>
        </w:rPr>
        <w:t xml:space="preserve">vert </w:t>
      </w:r>
      <w:r w:rsidRPr="0084232E">
        <w:rPr>
          <w:rFonts w:eastAsiaTheme="minorHAnsi"/>
          <w:lang w:val="nn-NO" w:eastAsia="en-US"/>
        </w:rPr>
        <w:t>balanseført til nominelt beløp på opptakstidspunktet.</w:t>
      </w:r>
    </w:p>
    <w:p w:rsidR="007A0528" w:rsidRPr="0084232E" w:rsidRDefault="007A0528" w:rsidP="007A0528">
      <w:pPr>
        <w:spacing w:before="0" w:after="160" w:line="259" w:lineRule="auto"/>
        <w:rPr>
          <w:rFonts w:eastAsiaTheme="minorHAnsi"/>
          <w:lang w:val="nn-NO" w:eastAsia="en-US"/>
        </w:rPr>
      </w:pPr>
      <w:r w:rsidRPr="0084232E">
        <w:rPr>
          <w:rFonts w:eastAsiaTheme="minorHAnsi"/>
          <w:lang w:val="nn-NO" w:eastAsia="en-US"/>
        </w:rPr>
        <w:t>Anleggsmid</w:t>
      </w:r>
      <w:r>
        <w:rPr>
          <w:rFonts w:eastAsiaTheme="minorHAnsi"/>
          <w:lang w:val="nn-NO" w:eastAsia="en-US"/>
        </w:rPr>
        <w:t>del</w:t>
      </w:r>
      <w:r w:rsidRPr="0084232E">
        <w:rPr>
          <w:rFonts w:eastAsiaTheme="minorHAnsi"/>
          <w:lang w:val="nn-NO" w:eastAsia="en-US"/>
        </w:rPr>
        <w:t xml:space="preserve"> </w:t>
      </w:r>
      <w:r>
        <w:rPr>
          <w:rFonts w:eastAsiaTheme="minorHAnsi"/>
          <w:lang w:val="nn-NO" w:eastAsia="en-US"/>
        </w:rPr>
        <w:t xml:space="preserve">vert </w:t>
      </w:r>
      <w:r w:rsidRPr="0084232E">
        <w:rPr>
          <w:rFonts w:eastAsiaTheme="minorHAnsi"/>
          <w:lang w:val="nn-NO" w:eastAsia="en-US"/>
        </w:rPr>
        <w:t>vurdert til anskaffelseskost fråtrukke avskrivingar. Anleggsmid</w:t>
      </w:r>
      <w:r>
        <w:rPr>
          <w:rFonts w:eastAsiaTheme="minorHAnsi"/>
          <w:lang w:val="nn-NO" w:eastAsia="en-US"/>
        </w:rPr>
        <w:t>del</w:t>
      </w:r>
      <w:r w:rsidRPr="0084232E">
        <w:rPr>
          <w:rFonts w:eastAsiaTheme="minorHAnsi"/>
          <w:lang w:val="nn-NO" w:eastAsia="en-US"/>
        </w:rPr>
        <w:t xml:space="preserve"> </w:t>
      </w:r>
      <w:r>
        <w:rPr>
          <w:rFonts w:eastAsiaTheme="minorHAnsi"/>
          <w:lang w:val="nn-NO" w:eastAsia="en-US"/>
        </w:rPr>
        <w:t xml:space="preserve">vert </w:t>
      </w:r>
      <w:r w:rsidRPr="0084232E">
        <w:rPr>
          <w:rFonts w:eastAsiaTheme="minorHAnsi"/>
          <w:lang w:val="nn-NO" w:eastAsia="en-US"/>
        </w:rPr>
        <w:t>skriv</w:t>
      </w:r>
      <w:r>
        <w:rPr>
          <w:rFonts w:eastAsiaTheme="minorHAnsi"/>
          <w:lang w:val="nn-NO" w:eastAsia="en-US"/>
        </w:rPr>
        <w:t>e</w:t>
      </w:r>
      <w:r w:rsidRPr="0084232E">
        <w:rPr>
          <w:rFonts w:eastAsiaTheme="minorHAnsi"/>
          <w:lang w:val="nn-NO" w:eastAsia="en-US"/>
        </w:rPr>
        <w:t xml:space="preserve"> </w:t>
      </w:r>
      <w:r>
        <w:rPr>
          <w:rFonts w:eastAsiaTheme="minorHAnsi"/>
          <w:lang w:val="nn-NO" w:eastAsia="en-US"/>
        </w:rPr>
        <w:t xml:space="preserve">ned </w:t>
      </w:r>
      <w:r w:rsidRPr="0084232E">
        <w:rPr>
          <w:rFonts w:eastAsiaTheme="minorHAnsi"/>
          <w:lang w:val="nn-NO" w:eastAsia="en-US"/>
        </w:rPr>
        <w:t xml:space="preserve">til verkeleg verdi ved bruksendring. </w:t>
      </w:r>
    </w:p>
    <w:p w:rsidR="007A0528" w:rsidRPr="0084232E" w:rsidRDefault="007A0528" w:rsidP="007A0528">
      <w:pPr>
        <w:spacing w:before="0" w:after="160" w:line="259" w:lineRule="auto"/>
        <w:rPr>
          <w:rFonts w:eastAsiaTheme="minorHAnsi"/>
          <w:lang w:val="nn-NO" w:eastAsia="en-US"/>
        </w:rPr>
      </w:pPr>
      <w:r w:rsidRPr="0084232E">
        <w:rPr>
          <w:rFonts w:eastAsiaTheme="minorHAnsi"/>
          <w:b/>
          <w:lang w:val="nn-NO" w:eastAsia="en-US"/>
        </w:rPr>
        <w:t>Immaterielle eigedelar</w:t>
      </w:r>
      <w:r w:rsidRPr="0084232E">
        <w:rPr>
          <w:rFonts w:eastAsiaTheme="minorHAnsi"/>
          <w:lang w:val="nn-NO" w:eastAsia="en-US"/>
        </w:rPr>
        <w:br/>
        <w:t xml:space="preserve">Eksternt innkjøpte immaterielle eigedelar er balanseført. </w:t>
      </w:r>
    </w:p>
    <w:p w:rsidR="007A0528" w:rsidRDefault="007A0528" w:rsidP="007A0528">
      <w:pPr>
        <w:spacing w:before="0" w:after="160" w:line="259" w:lineRule="auto"/>
        <w:rPr>
          <w:rFonts w:eastAsiaTheme="minorHAnsi"/>
          <w:lang w:val="nn-NO" w:eastAsia="en-US"/>
        </w:rPr>
      </w:pPr>
      <w:r w:rsidRPr="0084232E">
        <w:rPr>
          <w:rFonts w:eastAsiaTheme="minorHAnsi"/>
          <w:b/>
          <w:lang w:val="nn-NO" w:eastAsia="en-US"/>
        </w:rPr>
        <w:t>Varige driftsmid</w:t>
      </w:r>
      <w:r>
        <w:rPr>
          <w:rFonts w:eastAsiaTheme="minorHAnsi"/>
          <w:b/>
          <w:lang w:val="nn-NO" w:eastAsia="en-US"/>
        </w:rPr>
        <w:t>del</w:t>
      </w:r>
      <w:r w:rsidRPr="0084232E">
        <w:rPr>
          <w:rFonts w:eastAsiaTheme="minorHAnsi"/>
          <w:lang w:val="nn-NO" w:eastAsia="en-US"/>
        </w:rPr>
        <w:br/>
        <w:t>Varige driftsmid</w:t>
      </w:r>
      <w:r>
        <w:rPr>
          <w:rFonts w:eastAsiaTheme="minorHAnsi"/>
          <w:lang w:val="nn-NO" w:eastAsia="en-US"/>
        </w:rPr>
        <w:t>del</w:t>
      </w:r>
      <w:r w:rsidRPr="0084232E">
        <w:rPr>
          <w:rFonts w:eastAsiaTheme="minorHAnsi"/>
          <w:lang w:val="nn-NO" w:eastAsia="en-US"/>
        </w:rPr>
        <w:t xml:space="preserve"> er balanseført og </w:t>
      </w:r>
      <w:r>
        <w:rPr>
          <w:rFonts w:eastAsiaTheme="minorHAnsi"/>
          <w:lang w:val="nn-NO" w:eastAsia="en-US"/>
        </w:rPr>
        <w:t xml:space="preserve">vert </w:t>
      </w:r>
      <w:r w:rsidRPr="0084232E">
        <w:rPr>
          <w:rFonts w:eastAsiaTheme="minorHAnsi"/>
          <w:lang w:val="nn-NO" w:eastAsia="en-US"/>
        </w:rPr>
        <w:t>avskriv</w:t>
      </w:r>
      <w:r>
        <w:rPr>
          <w:rFonts w:eastAsiaTheme="minorHAnsi"/>
          <w:lang w:val="nn-NO" w:eastAsia="en-US"/>
        </w:rPr>
        <w:t>e</w:t>
      </w:r>
      <w:r w:rsidRPr="0084232E">
        <w:rPr>
          <w:rFonts w:eastAsiaTheme="minorHAnsi"/>
          <w:lang w:val="nn-NO" w:eastAsia="en-US"/>
        </w:rPr>
        <w:t xml:space="preserve"> over driftsmidl</w:t>
      </w:r>
      <w:r>
        <w:rPr>
          <w:rFonts w:eastAsiaTheme="minorHAnsi"/>
          <w:lang w:val="nn-NO" w:eastAsia="en-US"/>
        </w:rPr>
        <w:t>a</w:t>
      </w:r>
      <w:r w:rsidRPr="0084232E">
        <w:rPr>
          <w:rFonts w:eastAsiaTheme="minorHAnsi"/>
          <w:lang w:val="nn-NO" w:eastAsia="en-US"/>
        </w:rPr>
        <w:t xml:space="preserve"> si økonomiske levetid. </w:t>
      </w:r>
    </w:p>
    <w:p w:rsidR="007A0528" w:rsidRPr="0084232E" w:rsidRDefault="007A0528" w:rsidP="007A0528">
      <w:pPr>
        <w:spacing w:before="0" w:after="160" w:line="259" w:lineRule="auto"/>
        <w:rPr>
          <w:rFonts w:eastAsiaTheme="minorHAnsi"/>
          <w:lang w:val="nn-NO" w:eastAsia="en-US"/>
        </w:rPr>
      </w:pPr>
    </w:p>
    <w:p w:rsidR="007A0528" w:rsidRPr="0084232E" w:rsidRDefault="007A0528" w:rsidP="007A0528">
      <w:pPr>
        <w:spacing w:before="0" w:after="160" w:line="259" w:lineRule="auto"/>
        <w:rPr>
          <w:rFonts w:eastAsiaTheme="minorHAnsi"/>
          <w:lang w:val="nn-NO" w:eastAsia="en-US"/>
        </w:rPr>
      </w:pPr>
      <w:r w:rsidRPr="0084232E">
        <w:rPr>
          <w:rFonts w:eastAsiaTheme="minorHAnsi"/>
          <w:b/>
          <w:lang w:val="nn-NO" w:eastAsia="en-US"/>
        </w:rPr>
        <w:lastRenderedPageBreak/>
        <w:t>Finansiering av periodiserte postar</w:t>
      </w:r>
      <w:r w:rsidRPr="0084232E">
        <w:rPr>
          <w:rFonts w:eastAsiaTheme="minorHAnsi"/>
          <w:lang w:val="nn-NO" w:eastAsia="en-US"/>
        </w:rPr>
        <w:br/>
      </w:r>
      <w:r w:rsidRPr="0084232E">
        <w:rPr>
          <w:rFonts w:eastAsiaTheme="minorHAnsi"/>
          <w:b/>
          <w:lang w:val="nn-NO" w:eastAsia="en-US"/>
        </w:rPr>
        <w:t>Omløpsmid</w:t>
      </w:r>
      <w:r>
        <w:rPr>
          <w:rFonts w:eastAsiaTheme="minorHAnsi"/>
          <w:b/>
          <w:lang w:val="nn-NO" w:eastAsia="en-US"/>
        </w:rPr>
        <w:t>del</w:t>
      </w:r>
      <w:r w:rsidRPr="0084232E">
        <w:rPr>
          <w:rFonts w:eastAsiaTheme="minorHAnsi"/>
          <w:b/>
          <w:lang w:val="nn-NO" w:eastAsia="en-US"/>
        </w:rPr>
        <w:t>/kortsiktig gjeld</w:t>
      </w:r>
      <w:r w:rsidRPr="0084232E">
        <w:rPr>
          <w:rFonts w:eastAsiaTheme="minorHAnsi"/>
          <w:lang w:val="nn-NO" w:eastAsia="en-US"/>
        </w:rPr>
        <w:br/>
        <w:t>Nettobeløp av alle balansepostar, med unntak av immaterielle eigedelar og varige driftsmid</w:t>
      </w:r>
      <w:r>
        <w:rPr>
          <w:rFonts w:eastAsiaTheme="minorHAnsi"/>
          <w:lang w:val="nn-NO" w:eastAsia="en-US"/>
        </w:rPr>
        <w:t>del</w:t>
      </w:r>
      <w:r w:rsidRPr="0084232E">
        <w:rPr>
          <w:rFonts w:eastAsiaTheme="minorHAnsi"/>
          <w:lang w:val="nn-NO" w:eastAsia="en-US"/>
        </w:rPr>
        <w:t>, har motpost</w:t>
      </w:r>
      <w:r>
        <w:rPr>
          <w:rFonts w:eastAsiaTheme="minorHAnsi"/>
          <w:lang w:val="nn-NO" w:eastAsia="en-US"/>
        </w:rPr>
        <w:t>ar</w:t>
      </w:r>
      <w:r w:rsidRPr="0084232E">
        <w:rPr>
          <w:rFonts w:eastAsiaTheme="minorHAnsi"/>
          <w:lang w:val="nn-NO" w:eastAsia="en-US"/>
        </w:rPr>
        <w:t xml:space="preserve"> i avrekning løyv</w:t>
      </w:r>
      <w:r>
        <w:rPr>
          <w:rFonts w:eastAsiaTheme="minorHAnsi"/>
          <w:lang w:val="nn-NO" w:eastAsia="en-US"/>
        </w:rPr>
        <w:t>ings</w:t>
      </w:r>
      <w:r w:rsidRPr="0084232E">
        <w:rPr>
          <w:rFonts w:eastAsiaTheme="minorHAnsi"/>
          <w:lang w:val="nn-NO" w:eastAsia="en-US"/>
        </w:rPr>
        <w:t>finansiert verksemd eller ikkje inntektsført løyv</w:t>
      </w:r>
      <w:r>
        <w:rPr>
          <w:rFonts w:eastAsiaTheme="minorHAnsi"/>
          <w:lang w:val="nn-NO" w:eastAsia="en-US"/>
        </w:rPr>
        <w:t>ing</w:t>
      </w:r>
      <w:r w:rsidRPr="0084232E">
        <w:rPr>
          <w:rFonts w:eastAsiaTheme="minorHAnsi"/>
          <w:lang w:val="nn-NO" w:eastAsia="en-US"/>
        </w:rPr>
        <w:t>. Avrekninga g</w:t>
      </w:r>
      <w:r>
        <w:rPr>
          <w:rFonts w:eastAsiaTheme="minorHAnsi"/>
          <w:lang w:val="nn-NO" w:eastAsia="en-US"/>
        </w:rPr>
        <w:t>jev</w:t>
      </w:r>
      <w:r w:rsidRPr="0084232E">
        <w:rPr>
          <w:rFonts w:eastAsiaTheme="minorHAnsi"/>
          <w:lang w:val="nn-NO" w:eastAsia="en-US"/>
        </w:rPr>
        <w:t xml:space="preserve"> såleis eit uttrykk for staten sin eigarkapital når det gjeld kortsiktige postar og eventuelle finansielle anleggsmiddel.</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Anleggsmid</w:t>
      </w:r>
      <w:r>
        <w:rPr>
          <w:rFonts w:eastAsiaTheme="minorHAnsi"/>
          <w:b/>
          <w:lang w:val="nn-NO" w:eastAsia="en-US"/>
        </w:rPr>
        <w:t>del</w:t>
      </w:r>
      <w:r w:rsidRPr="002B0C46">
        <w:rPr>
          <w:rFonts w:eastAsiaTheme="minorHAnsi"/>
          <w:lang w:val="nn-NO" w:eastAsia="en-US"/>
        </w:rPr>
        <w:br/>
        <w:t>Balanseført verdi av immaterielle eigedel</w:t>
      </w:r>
      <w:r>
        <w:rPr>
          <w:rFonts w:eastAsiaTheme="minorHAnsi"/>
          <w:lang w:val="nn-NO" w:eastAsia="en-US"/>
        </w:rPr>
        <w:t>a</w:t>
      </w:r>
      <w:r w:rsidRPr="002B0C46">
        <w:rPr>
          <w:rFonts w:eastAsiaTheme="minorHAnsi"/>
          <w:lang w:val="nn-NO" w:eastAsia="en-US"/>
        </w:rPr>
        <w:t>r og varige driftsmid</w:t>
      </w:r>
      <w:r>
        <w:rPr>
          <w:rFonts w:eastAsiaTheme="minorHAnsi"/>
          <w:lang w:val="nn-NO" w:eastAsia="en-US"/>
        </w:rPr>
        <w:t>del</w:t>
      </w:r>
      <w:r w:rsidRPr="002B0C46">
        <w:rPr>
          <w:rFonts w:eastAsiaTheme="minorHAnsi"/>
          <w:lang w:val="nn-NO" w:eastAsia="en-US"/>
        </w:rPr>
        <w:t xml:space="preserve"> har motpost i rekneskapslina ikkje inntektsført løyv</w:t>
      </w:r>
      <w:r>
        <w:rPr>
          <w:rFonts w:eastAsiaTheme="minorHAnsi"/>
          <w:lang w:val="nn-NO" w:eastAsia="en-US"/>
        </w:rPr>
        <w:t>ing</w:t>
      </w:r>
      <w:r w:rsidRPr="002B0C46">
        <w:rPr>
          <w:rFonts w:eastAsiaTheme="minorHAnsi"/>
          <w:lang w:val="nn-NO" w:eastAsia="en-US"/>
        </w:rPr>
        <w:t xml:space="preserve"> knytta til anleggsmid</w:t>
      </w:r>
      <w:r>
        <w:rPr>
          <w:rFonts w:eastAsiaTheme="minorHAnsi"/>
          <w:lang w:val="nn-NO" w:eastAsia="en-US"/>
        </w:rPr>
        <w:t>del</w:t>
      </w:r>
      <w:r w:rsidRPr="002B0C46">
        <w:rPr>
          <w:rFonts w:eastAsiaTheme="minorHAnsi"/>
          <w:lang w:val="nn-NO" w:eastAsia="en-US"/>
        </w:rPr>
        <w:t>. Dette representer</w:t>
      </w:r>
      <w:r>
        <w:rPr>
          <w:rFonts w:eastAsiaTheme="minorHAnsi"/>
          <w:lang w:val="nn-NO" w:eastAsia="en-US"/>
        </w:rPr>
        <w:t>e</w:t>
      </w:r>
      <w:r w:rsidRPr="002B0C46">
        <w:rPr>
          <w:rFonts w:eastAsiaTheme="minorHAnsi"/>
          <w:lang w:val="nn-NO" w:eastAsia="en-US"/>
        </w:rPr>
        <w:t>r finansieringa av d</w:t>
      </w:r>
      <w:r>
        <w:rPr>
          <w:rFonts w:eastAsiaTheme="minorHAnsi"/>
          <w:lang w:val="nn-NO" w:eastAsia="en-US"/>
        </w:rPr>
        <w:t>e</w:t>
      </w:r>
      <w:r w:rsidRPr="002B0C46">
        <w:rPr>
          <w:rFonts w:eastAsiaTheme="minorHAnsi"/>
          <w:lang w:val="nn-NO" w:eastAsia="en-US"/>
        </w:rPr>
        <w:t>sse anleggsmidl</w:t>
      </w:r>
      <w:r>
        <w:rPr>
          <w:rFonts w:eastAsiaTheme="minorHAnsi"/>
          <w:lang w:val="nn-NO" w:eastAsia="en-US"/>
        </w:rPr>
        <w:t>a</w:t>
      </w:r>
      <w:r w:rsidRPr="002B0C46">
        <w:rPr>
          <w:rFonts w:eastAsiaTheme="minorHAnsi"/>
          <w:lang w:val="nn-NO" w:eastAsia="en-US"/>
        </w:rPr>
        <w:t>. Ved tilg</w:t>
      </w:r>
      <w:r>
        <w:rPr>
          <w:rFonts w:eastAsiaTheme="minorHAnsi"/>
          <w:lang w:val="nn-NO" w:eastAsia="en-US"/>
        </w:rPr>
        <w:t>a</w:t>
      </w:r>
      <w:r w:rsidRPr="002B0C46">
        <w:rPr>
          <w:rFonts w:eastAsiaTheme="minorHAnsi"/>
          <w:lang w:val="nn-NO" w:eastAsia="en-US"/>
        </w:rPr>
        <w:t>ng av immaterielle anleggsmid</w:t>
      </w:r>
      <w:r>
        <w:rPr>
          <w:rFonts w:eastAsiaTheme="minorHAnsi"/>
          <w:lang w:val="nn-NO" w:eastAsia="en-US"/>
        </w:rPr>
        <w:t>del</w:t>
      </w:r>
      <w:r w:rsidRPr="002B0C46">
        <w:rPr>
          <w:rFonts w:eastAsiaTheme="minorHAnsi"/>
          <w:lang w:val="nn-NO" w:eastAsia="en-US"/>
        </w:rPr>
        <w:t xml:space="preserve"> og varige driftsmid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anskaffelseskostnaden</w:t>
      </w:r>
      <w:r w:rsidRPr="00100022">
        <w:rPr>
          <w:rFonts w:eastAsiaTheme="minorHAnsi"/>
          <w:lang w:val="nn-NO" w:eastAsia="en-US"/>
        </w:rPr>
        <w:t xml:space="preserve"> </w:t>
      </w:r>
      <w:r w:rsidRPr="002B0C46">
        <w:rPr>
          <w:rFonts w:eastAsiaTheme="minorHAnsi"/>
          <w:lang w:val="nn-NO" w:eastAsia="en-US"/>
        </w:rPr>
        <w:t>balansefør</w:t>
      </w:r>
      <w:r>
        <w:rPr>
          <w:rFonts w:eastAsiaTheme="minorHAnsi"/>
          <w:lang w:val="nn-NO" w:eastAsia="en-US"/>
        </w:rPr>
        <w:t>t</w:t>
      </w:r>
      <w:r w:rsidRPr="002B0C46">
        <w:rPr>
          <w:rFonts w:eastAsiaTheme="minorHAnsi"/>
          <w:lang w:val="nn-NO" w:eastAsia="en-US"/>
        </w:rPr>
        <w:t xml:space="preserve">. Samstundes </w:t>
      </w:r>
      <w:r>
        <w:rPr>
          <w:rFonts w:eastAsiaTheme="minorHAnsi"/>
          <w:lang w:val="nn-NO" w:eastAsia="en-US"/>
        </w:rPr>
        <w:t xml:space="preserve">vert det </w:t>
      </w:r>
      <w:r w:rsidRPr="002B0C46">
        <w:rPr>
          <w:rFonts w:eastAsiaTheme="minorHAnsi"/>
          <w:lang w:val="nn-NO" w:eastAsia="en-US"/>
        </w:rPr>
        <w:t>før</w:t>
      </w:r>
      <w:r>
        <w:rPr>
          <w:rFonts w:eastAsiaTheme="minorHAnsi"/>
          <w:lang w:val="nn-NO" w:eastAsia="en-US"/>
        </w:rPr>
        <w:t>t</w:t>
      </w:r>
      <w:r w:rsidRPr="002B0C46">
        <w:rPr>
          <w:rFonts w:eastAsiaTheme="minorHAnsi"/>
          <w:lang w:val="nn-NO" w:eastAsia="en-US"/>
        </w:rPr>
        <w:t xml:space="preserve"> eit tilsvarande beløp til reduksjon av resultatposten inntekt frå løyv</w:t>
      </w:r>
      <w:r>
        <w:rPr>
          <w:rFonts w:eastAsiaTheme="minorHAnsi"/>
          <w:lang w:val="nn-NO" w:eastAsia="en-US"/>
        </w:rPr>
        <w:t>ingar</w:t>
      </w:r>
      <w:r w:rsidRPr="002B0C46">
        <w:rPr>
          <w:rFonts w:eastAsiaTheme="minorHAnsi"/>
          <w:lang w:val="nn-NO" w:eastAsia="en-US"/>
        </w:rPr>
        <w:t xml:space="preserve"> og til auke av balansepost ikkje inntektsført løyv</w:t>
      </w:r>
      <w:r>
        <w:rPr>
          <w:rFonts w:eastAsiaTheme="minorHAnsi"/>
          <w:lang w:val="nn-NO" w:eastAsia="en-US"/>
        </w:rPr>
        <w:t>ing</w:t>
      </w:r>
      <w:r w:rsidRPr="002B0C46">
        <w:rPr>
          <w:rFonts w:eastAsiaTheme="minorHAnsi"/>
          <w:lang w:val="nn-NO" w:eastAsia="en-US"/>
        </w:rPr>
        <w:t xml:space="preserve"> knytta til anleggsmid</w:t>
      </w:r>
      <w:r>
        <w:rPr>
          <w:rFonts w:eastAsiaTheme="minorHAnsi"/>
          <w:lang w:val="nn-NO" w:eastAsia="en-US"/>
        </w:rPr>
        <w:t>del</w:t>
      </w:r>
      <w:r w:rsidRPr="002B0C46">
        <w:rPr>
          <w:rFonts w:eastAsiaTheme="minorHAnsi"/>
          <w:lang w:val="nn-NO" w:eastAsia="en-US"/>
        </w:rPr>
        <w:t xml:space="preserve">. </w:t>
      </w:r>
    </w:p>
    <w:p w:rsidR="007A0528" w:rsidRPr="002B0C46" w:rsidRDefault="007A0528" w:rsidP="007A0528">
      <w:pPr>
        <w:spacing w:before="0" w:after="160" w:line="259" w:lineRule="auto"/>
        <w:rPr>
          <w:rFonts w:eastAsiaTheme="minorHAnsi"/>
          <w:lang w:val="nn-NO" w:eastAsia="en-US"/>
        </w:rPr>
      </w:pPr>
      <w:r w:rsidRPr="002B0C46">
        <w:rPr>
          <w:rFonts w:eastAsiaTheme="minorHAnsi"/>
          <w:lang w:val="nn-NO" w:eastAsia="en-US"/>
        </w:rPr>
        <w:t>Avskriving av anleggsmid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kostnadsfør</w:t>
      </w:r>
      <w:r>
        <w:rPr>
          <w:rFonts w:eastAsiaTheme="minorHAnsi"/>
          <w:lang w:val="nn-NO" w:eastAsia="en-US"/>
        </w:rPr>
        <w:t>t</w:t>
      </w:r>
      <w:r w:rsidRPr="002B0C46">
        <w:rPr>
          <w:rFonts w:eastAsiaTheme="minorHAnsi"/>
          <w:lang w:val="nn-NO" w:eastAsia="en-US"/>
        </w:rPr>
        <w:t xml:space="preserve">. I takt med avskriving </w:t>
      </w:r>
      <w:r>
        <w:rPr>
          <w:rFonts w:eastAsiaTheme="minorHAnsi"/>
          <w:lang w:val="nn-NO" w:eastAsia="en-US"/>
        </w:rPr>
        <w:t xml:space="preserve">vert </w:t>
      </w:r>
      <w:r w:rsidRPr="002B0C46">
        <w:rPr>
          <w:rFonts w:eastAsiaTheme="minorHAnsi"/>
          <w:lang w:val="nn-NO" w:eastAsia="en-US"/>
        </w:rPr>
        <w:t>eit tilsvarande beløp under inntekt frå løyv</w:t>
      </w:r>
      <w:r>
        <w:rPr>
          <w:rFonts w:eastAsiaTheme="minorHAnsi"/>
          <w:lang w:val="nn-NO" w:eastAsia="en-US"/>
        </w:rPr>
        <w:t>ing</w:t>
      </w:r>
      <w:r w:rsidRPr="00100022">
        <w:rPr>
          <w:rFonts w:eastAsiaTheme="minorHAnsi"/>
          <w:lang w:val="nn-NO" w:eastAsia="en-US"/>
        </w:rPr>
        <w:t xml:space="preserve"> </w:t>
      </w:r>
      <w:r w:rsidRPr="002B0C46">
        <w:rPr>
          <w:rFonts w:eastAsiaTheme="minorHAnsi"/>
          <w:lang w:val="nn-NO" w:eastAsia="en-US"/>
        </w:rPr>
        <w:t>inntektsfør</w:t>
      </w:r>
      <w:r>
        <w:rPr>
          <w:rFonts w:eastAsiaTheme="minorHAnsi"/>
          <w:lang w:val="nn-NO" w:eastAsia="en-US"/>
        </w:rPr>
        <w:t>t</w:t>
      </w:r>
      <w:r w:rsidRPr="002B0C46">
        <w:rPr>
          <w:rFonts w:eastAsiaTheme="minorHAnsi"/>
          <w:lang w:val="nn-NO" w:eastAsia="en-US"/>
        </w:rPr>
        <w:t xml:space="preserve">. Dette </w:t>
      </w:r>
      <w:r>
        <w:rPr>
          <w:rFonts w:eastAsiaTheme="minorHAnsi"/>
          <w:lang w:val="nn-NO" w:eastAsia="en-US"/>
        </w:rPr>
        <w:t>vert gjort</w:t>
      </w:r>
      <w:r w:rsidRPr="002B0C46">
        <w:rPr>
          <w:rFonts w:eastAsiaTheme="minorHAnsi"/>
          <w:lang w:val="nn-NO" w:eastAsia="en-US"/>
        </w:rPr>
        <w:t xml:space="preserve"> ved at finansieringsposten ikkje inntektsført løyv</w:t>
      </w:r>
      <w:r>
        <w:rPr>
          <w:rFonts w:eastAsiaTheme="minorHAnsi"/>
          <w:lang w:val="nn-NO" w:eastAsia="en-US"/>
        </w:rPr>
        <w:t>ing</w:t>
      </w:r>
      <w:r w:rsidRPr="002B0C46">
        <w:rPr>
          <w:rFonts w:eastAsiaTheme="minorHAnsi"/>
          <w:lang w:val="nn-NO" w:eastAsia="en-US"/>
        </w:rPr>
        <w:t xml:space="preserve"> knytt til anleggsmid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opplø</w:t>
      </w:r>
      <w:r>
        <w:rPr>
          <w:rFonts w:eastAsiaTheme="minorHAnsi"/>
          <w:lang w:val="nn-NO" w:eastAsia="en-US"/>
        </w:rPr>
        <w:t>yst</w:t>
      </w:r>
      <w:r w:rsidRPr="002B0C46">
        <w:rPr>
          <w:rFonts w:eastAsiaTheme="minorHAnsi"/>
          <w:lang w:val="nn-NO" w:eastAsia="en-US"/>
        </w:rPr>
        <w:t xml:space="preserve"> i takt med at anleggsmid</w:t>
      </w:r>
      <w:r>
        <w:rPr>
          <w:rFonts w:eastAsiaTheme="minorHAnsi"/>
          <w:lang w:val="nn-NO" w:eastAsia="en-US"/>
        </w:rPr>
        <w:t>de</w:t>
      </w:r>
      <w:r w:rsidRPr="002B0C46">
        <w:rPr>
          <w:rFonts w:eastAsiaTheme="minorHAnsi"/>
          <w:lang w:val="nn-NO" w:eastAsia="en-US"/>
        </w:rPr>
        <w:t xml:space="preserve">let </w:t>
      </w:r>
      <w:r>
        <w:rPr>
          <w:rFonts w:eastAsiaTheme="minorHAnsi"/>
          <w:lang w:val="nn-NO" w:eastAsia="en-US"/>
        </w:rPr>
        <w:t xml:space="preserve">vert </w:t>
      </w:r>
      <w:r w:rsidRPr="002B0C46">
        <w:rPr>
          <w:rFonts w:eastAsiaTheme="minorHAnsi"/>
          <w:lang w:val="nn-NO" w:eastAsia="en-US"/>
        </w:rPr>
        <w:t>forbruk</w:t>
      </w:r>
      <w:r>
        <w:rPr>
          <w:rFonts w:eastAsiaTheme="minorHAnsi"/>
          <w:lang w:val="nn-NO" w:eastAsia="en-US"/>
        </w:rPr>
        <w:t>t</w:t>
      </w:r>
      <w:r w:rsidRPr="002B0C46">
        <w:rPr>
          <w:rFonts w:eastAsiaTheme="minorHAnsi"/>
          <w:lang w:val="nn-NO" w:eastAsia="en-US"/>
        </w:rPr>
        <w:t xml:space="preserve"> i verksemda. Konsekvensen av dette er at avskrivingane har ein resultatnøytral effekt.</w:t>
      </w:r>
    </w:p>
    <w:p w:rsidR="007A0528" w:rsidRPr="008064DB" w:rsidRDefault="007A0528" w:rsidP="007A0528">
      <w:pPr>
        <w:spacing w:before="0" w:after="160" w:line="259" w:lineRule="auto"/>
        <w:rPr>
          <w:rFonts w:eastAsiaTheme="minorHAnsi"/>
          <w:lang w:val="nn-NO" w:eastAsia="en-US"/>
        </w:rPr>
      </w:pPr>
      <w:r w:rsidRPr="002B0C46">
        <w:rPr>
          <w:rFonts w:eastAsiaTheme="minorHAnsi"/>
          <w:lang w:val="nn-NO" w:eastAsia="en-US"/>
        </w:rPr>
        <w:t>Ved realisasjon/avg</w:t>
      </w:r>
      <w:r>
        <w:rPr>
          <w:rFonts w:eastAsiaTheme="minorHAnsi"/>
          <w:lang w:val="nn-NO" w:eastAsia="en-US"/>
        </w:rPr>
        <w:t>a</w:t>
      </w:r>
      <w:r w:rsidRPr="002B0C46">
        <w:rPr>
          <w:rFonts w:eastAsiaTheme="minorHAnsi"/>
          <w:lang w:val="nn-NO" w:eastAsia="en-US"/>
        </w:rPr>
        <w:t>ng av driftsmid</w:t>
      </w:r>
      <w:r>
        <w:rPr>
          <w:rFonts w:eastAsiaTheme="minorHAnsi"/>
          <w:lang w:val="nn-NO" w:eastAsia="en-US"/>
        </w:rPr>
        <w:t>del</w:t>
      </w:r>
      <w:r w:rsidRPr="002B0C46">
        <w:rPr>
          <w:rFonts w:eastAsiaTheme="minorHAnsi"/>
          <w:lang w:val="nn-NO" w:eastAsia="en-US"/>
        </w:rPr>
        <w:t xml:space="preserve"> </w:t>
      </w:r>
      <w:r>
        <w:rPr>
          <w:rFonts w:eastAsiaTheme="minorHAnsi"/>
          <w:lang w:val="nn-NO" w:eastAsia="en-US"/>
        </w:rPr>
        <w:t xml:space="preserve">vert </w:t>
      </w:r>
      <w:r w:rsidRPr="002B0C46">
        <w:rPr>
          <w:rFonts w:eastAsiaTheme="minorHAnsi"/>
          <w:lang w:val="nn-NO" w:eastAsia="en-US"/>
        </w:rPr>
        <w:t>gevinst/tap</w:t>
      </w:r>
      <w:r w:rsidRPr="00100022">
        <w:rPr>
          <w:rFonts w:eastAsiaTheme="minorHAnsi"/>
          <w:lang w:val="nn-NO" w:eastAsia="en-US"/>
        </w:rPr>
        <w:t xml:space="preserve"> </w:t>
      </w:r>
      <w:r w:rsidRPr="002B0C46">
        <w:rPr>
          <w:rFonts w:eastAsiaTheme="minorHAnsi"/>
          <w:lang w:val="nn-NO" w:eastAsia="en-US"/>
        </w:rPr>
        <w:t>resultatfør</w:t>
      </w:r>
      <w:r>
        <w:rPr>
          <w:rFonts w:eastAsiaTheme="minorHAnsi"/>
          <w:lang w:val="nn-NO" w:eastAsia="en-US"/>
        </w:rPr>
        <w:t>t</w:t>
      </w:r>
      <w:r w:rsidRPr="002B0C46">
        <w:rPr>
          <w:rFonts w:eastAsiaTheme="minorHAnsi"/>
          <w:lang w:val="nn-NO" w:eastAsia="en-US"/>
        </w:rPr>
        <w:t xml:space="preserve">. Gevinst/tap </w:t>
      </w:r>
      <w:r>
        <w:rPr>
          <w:rFonts w:eastAsiaTheme="minorHAnsi"/>
          <w:lang w:val="nn-NO" w:eastAsia="en-US"/>
        </w:rPr>
        <w:t xml:space="preserve">vert </w:t>
      </w:r>
      <w:r w:rsidRPr="002B0C46">
        <w:rPr>
          <w:rFonts w:eastAsiaTheme="minorHAnsi"/>
          <w:lang w:val="nn-NO" w:eastAsia="en-US"/>
        </w:rPr>
        <w:t>berekn</w:t>
      </w:r>
      <w:r>
        <w:rPr>
          <w:rFonts w:eastAsiaTheme="minorHAnsi"/>
          <w:lang w:val="nn-NO" w:eastAsia="en-US"/>
        </w:rPr>
        <w:t>a</w:t>
      </w:r>
      <w:r w:rsidRPr="002B0C46">
        <w:rPr>
          <w:rFonts w:eastAsiaTheme="minorHAnsi"/>
          <w:lang w:val="nn-NO" w:eastAsia="en-US"/>
        </w:rPr>
        <w:t xml:space="preserve"> som </w:t>
      </w:r>
      <w:r>
        <w:rPr>
          <w:rFonts w:eastAsiaTheme="minorHAnsi"/>
          <w:lang w:val="nn-NO" w:eastAsia="en-US"/>
        </w:rPr>
        <w:t>skilnaden</w:t>
      </w:r>
      <w:r w:rsidRPr="002B0C46">
        <w:rPr>
          <w:rFonts w:eastAsiaTheme="minorHAnsi"/>
          <w:lang w:val="nn-NO" w:eastAsia="en-US"/>
        </w:rPr>
        <w:t xml:space="preserve"> mellom salet og balanseført verdi på realisasjonstidspunktet. Rester</w:t>
      </w:r>
      <w:r>
        <w:rPr>
          <w:rFonts w:eastAsiaTheme="minorHAnsi"/>
          <w:lang w:val="nn-NO" w:eastAsia="en-US"/>
        </w:rPr>
        <w:t>a</w:t>
      </w:r>
      <w:r w:rsidRPr="002B0C46">
        <w:rPr>
          <w:rFonts w:eastAsiaTheme="minorHAnsi"/>
          <w:lang w:val="nn-NO" w:eastAsia="en-US"/>
        </w:rPr>
        <w:t xml:space="preserve">nde bokført verdi av </w:t>
      </w:r>
      <w:r w:rsidRPr="0013333D">
        <w:rPr>
          <w:rFonts w:eastAsiaTheme="minorHAnsi"/>
          <w:lang w:val="nn-NO" w:eastAsia="en-US"/>
        </w:rPr>
        <w:t xml:space="preserve">ikkje inntektsført løyving knytt til anleggsmiddel på realisasjonstidspunktet vert inntektsført. Verksemda hadde anleggsmidler som allereie var avskrevet og som ble kastet. </w:t>
      </w:r>
      <w:r w:rsidRPr="008064DB">
        <w:rPr>
          <w:rFonts w:eastAsiaTheme="minorHAnsi"/>
          <w:lang w:val="nn-NO" w:eastAsia="en-US"/>
        </w:rPr>
        <w:t xml:space="preserve">Verdien av dette er slettet i anleggsregisteret i regnskapet for 2019. </w:t>
      </w:r>
    </w:p>
    <w:p w:rsidR="007A0528" w:rsidRPr="002B0C46" w:rsidRDefault="007A0528" w:rsidP="007A0528">
      <w:pPr>
        <w:spacing w:before="0" w:after="160" w:line="259" w:lineRule="auto"/>
        <w:rPr>
          <w:rFonts w:eastAsiaTheme="minorHAnsi"/>
          <w:lang w:val="nn-NO" w:eastAsia="en-US"/>
        </w:rPr>
      </w:pPr>
      <w:r w:rsidRPr="002B0C46">
        <w:rPr>
          <w:rFonts w:eastAsiaTheme="minorHAnsi"/>
          <w:b/>
          <w:lang w:val="nn-NO" w:eastAsia="en-US"/>
        </w:rPr>
        <w:t>Investering i aksjar og andelar</w:t>
      </w:r>
      <w:r w:rsidRPr="002B0C46">
        <w:rPr>
          <w:rFonts w:eastAsiaTheme="minorHAnsi"/>
          <w:lang w:val="nn-NO" w:eastAsia="en-US"/>
        </w:rPr>
        <w:br/>
        <w:t>LDO har ingen behaldningar eller andelar i aksjar.</w:t>
      </w:r>
    </w:p>
    <w:p w:rsidR="007A0528" w:rsidRPr="0084232E" w:rsidRDefault="007A0528" w:rsidP="007A0528">
      <w:pPr>
        <w:spacing w:before="0" w:after="160" w:line="259" w:lineRule="auto"/>
        <w:rPr>
          <w:rFonts w:eastAsiaTheme="minorHAnsi"/>
          <w:lang w:val="nn-NO" w:eastAsia="en-US"/>
        </w:rPr>
      </w:pPr>
      <w:r w:rsidRPr="002B0C46">
        <w:rPr>
          <w:rFonts w:eastAsiaTheme="minorHAnsi"/>
          <w:b/>
          <w:lang w:val="nn-NO" w:eastAsia="en-US"/>
        </w:rPr>
        <w:t>Varebehaldningar</w:t>
      </w:r>
      <w:r w:rsidRPr="002B0C46">
        <w:rPr>
          <w:rFonts w:eastAsiaTheme="minorHAnsi"/>
          <w:lang w:val="nn-NO" w:eastAsia="en-US"/>
        </w:rPr>
        <w:br/>
        <w:t xml:space="preserve">LDO har ingen varebehaldning av innkjøpte varer. </w:t>
      </w:r>
      <w:r w:rsidRPr="0084232E">
        <w:rPr>
          <w:rFonts w:eastAsiaTheme="minorHAnsi"/>
          <w:lang w:val="nn-NO" w:eastAsia="en-US"/>
        </w:rPr>
        <w:t>LDO har heller ikkje eigentilv</w:t>
      </w:r>
      <w:r>
        <w:rPr>
          <w:rFonts w:eastAsiaTheme="minorHAnsi"/>
          <w:lang w:val="nn-NO" w:eastAsia="en-US"/>
        </w:rPr>
        <w:t>e</w:t>
      </w:r>
      <w:r w:rsidRPr="0084232E">
        <w:rPr>
          <w:rFonts w:eastAsiaTheme="minorHAnsi"/>
          <w:lang w:val="nn-NO" w:eastAsia="en-US"/>
        </w:rPr>
        <w:t>rka ferdige varer eller varer under tilv</w:t>
      </w:r>
      <w:r>
        <w:rPr>
          <w:rFonts w:eastAsiaTheme="minorHAnsi"/>
          <w:lang w:val="nn-NO" w:eastAsia="en-US"/>
        </w:rPr>
        <w:t>e</w:t>
      </w:r>
      <w:r w:rsidRPr="0084232E">
        <w:rPr>
          <w:rFonts w:eastAsiaTheme="minorHAnsi"/>
          <w:lang w:val="nn-NO" w:eastAsia="en-US"/>
        </w:rPr>
        <w:t>rking.</w:t>
      </w:r>
    </w:p>
    <w:p w:rsidR="007A0528" w:rsidRPr="0084232E" w:rsidRDefault="007A0528" w:rsidP="007A0528">
      <w:pPr>
        <w:spacing w:before="0" w:after="160" w:line="259" w:lineRule="auto"/>
        <w:rPr>
          <w:rFonts w:eastAsiaTheme="minorHAnsi"/>
          <w:lang w:val="nn-NO" w:eastAsia="en-US"/>
        </w:rPr>
      </w:pPr>
      <w:r w:rsidRPr="0084232E">
        <w:rPr>
          <w:rFonts w:eastAsiaTheme="minorHAnsi"/>
          <w:b/>
          <w:lang w:val="nn-NO" w:eastAsia="en-US"/>
        </w:rPr>
        <w:t>Fordringar</w:t>
      </w:r>
      <w:r w:rsidRPr="0084232E">
        <w:rPr>
          <w:rFonts w:eastAsiaTheme="minorHAnsi"/>
          <w:lang w:val="nn-NO" w:eastAsia="en-US"/>
        </w:rPr>
        <w:br/>
        <w:t>Kundefordringar og andre fordringar er oppført i balansen til pålydande etter frådrag for avset</w:t>
      </w:r>
      <w:r>
        <w:rPr>
          <w:rFonts w:eastAsiaTheme="minorHAnsi"/>
          <w:lang w:val="nn-NO" w:eastAsia="en-US"/>
        </w:rPr>
        <w:t>n</w:t>
      </w:r>
      <w:r w:rsidRPr="0084232E">
        <w:rPr>
          <w:rFonts w:eastAsiaTheme="minorHAnsi"/>
          <w:lang w:val="nn-NO" w:eastAsia="en-US"/>
        </w:rPr>
        <w:t>ing til forventa tap. Avset</w:t>
      </w:r>
      <w:r>
        <w:rPr>
          <w:rFonts w:eastAsiaTheme="minorHAnsi"/>
          <w:lang w:val="nn-NO" w:eastAsia="en-US"/>
        </w:rPr>
        <w:t>n</w:t>
      </w:r>
      <w:r w:rsidRPr="0084232E">
        <w:rPr>
          <w:rFonts w:eastAsiaTheme="minorHAnsi"/>
          <w:lang w:val="nn-NO" w:eastAsia="en-US"/>
        </w:rPr>
        <w:t>ing til tap skjer på grunnlag av individuelle vurderingar av dei enkelte fordringane. I tillegg</w:t>
      </w:r>
      <w:r>
        <w:rPr>
          <w:rFonts w:eastAsiaTheme="minorHAnsi"/>
          <w:lang w:val="nn-NO" w:eastAsia="en-US"/>
        </w:rPr>
        <w:t xml:space="preserve"> vert det gjort</w:t>
      </w:r>
      <w:r w:rsidRPr="0084232E">
        <w:rPr>
          <w:rFonts w:eastAsiaTheme="minorHAnsi"/>
          <w:lang w:val="nn-NO" w:eastAsia="en-US"/>
        </w:rPr>
        <w:t xml:space="preserve"> ei uspesifisert avsetning for å dekk</w:t>
      </w:r>
      <w:r>
        <w:rPr>
          <w:rFonts w:eastAsiaTheme="minorHAnsi"/>
          <w:lang w:val="nn-NO" w:eastAsia="en-US"/>
        </w:rPr>
        <w:t>j</w:t>
      </w:r>
      <w:r w:rsidRPr="0084232E">
        <w:rPr>
          <w:rFonts w:eastAsiaTheme="minorHAnsi"/>
          <w:lang w:val="nn-NO" w:eastAsia="en-US"/>
        </w:rPr>
        <w:t>e antatt tap</w:t>
      </w:r>
      <w:r w:rsidRPr="00045651">
        <w:rPr>
          <w:rFonts w:eastAsiaTheme="minorHAnsi"/>
          <w:lang w:val="nn-NO" w:eastAsia="en-US"/>
        </w:rPr>
        <w:t xml:space="preserve"> </w:t>
      </w:r>
      <w:r>
        <w:rPr>
          <w:rFonts w:eastAsiaTheme="minorHAnsi"/>
          <w:lang w:val="nn-NO" w:eastAsia="en-US"/>
        </w:rPr>
        <w:t>på</w:t>
      </w:r>
      <w:r w:rsidRPr="0084232E">
        <w:rPr>
          <w:rFonts w:eastAsiaTheme="minorHAnsi"/>
          <w:lang w:val="nn-NO" w:eastAsia="en-US"/>
        </w:rPr>
        <w:t xml:space="preserve"> kundefordringar.</w:t>
      </w:r>
    </w:p>
    <w:p w:rsidR="007A0528" w:rsidRPr="0084232E" w:rsidRDefault="007A0528" w:rsidP="007A0528">
      <w:pPr>
        <w:spacing w:before="0" w:after="160" w:line="259" w:lineRule="auto"/>
        <w:rPr>
          <w:rFonts w:eastAsiaTheme="minorHAnsi"/>
          <w:lang w:val="nn-NO" w:eastAsia="en-US"/>
        </w:rPr>
      </w:pPr>
      <w:r w:rsidRPr="0084232E">
        <w:rPr>
          <w:rFonts w:eastAsiaTheme="minorHAnsi"/>
          <w:b/>
          <w:lang w:val="nn-NO" w:eastAsia="en-US"/>
        </w:rPr>
        <w:t>Valuta</w:t>
      </w:r>
      <w:r w:rsidRPr="0084232E">
        <w:rPr>
          <w:rFonts w:eastAsiaTheme="minorHAnsi"/>
          <w:lang w:val="nn-NO" w:eastAsia="en-US"/>
        </w:rPr>
        <w:br/>
        <w:t>LDO har ingen pengepostar i utanlandsk valuta ved slutt</w:t>
      </w:r>
      <w:r>
        <w:rPr>
          <w:rFonts w:eastAsiaTheme="minorHAnsi"/>
          <w:lang w:val="nn-NO" w:eastAsia="en-US"/>
        </w:rPr>
        <w:t>en av</w:t>
      </w:r>
      <w:r w:rsidRPr="0084232E">
        <w:rPr>
          <w:rFonts w:eastAsiaTheme="minorHAnsi"/>
          <w:lang w:val="nn-NO" w:eastAsia="en-US"/>
        </w:rPr>
        <w:t xml:space="preserve"> året.</w:t>
      </w:r>
    </w:p>
    <w:p w:rsidR="007A0528" w:rsidRPr="0084232E" w:rsidRDefault="007A0528" w:rsidP="007A0528">
      <w:pPr>
        <w:spacing w:before="0" w:after="160" w:line="259" w:lineRule="auto"/>
        <w:rPr>
          <w:rFonts w:eastAsiaTheme="minorHAnsi"/>
          <w:lang w:val="nn-NO" w:eastAsia="en-US"/>
        </w:rPr>
      </w:pPr>
      <w:r w:rsidRPr="0084232E">
        <w:rPr>
          <w:rFonts w:eastAsiaTheme="minorHAnsi"/>
          <w:b/>
          <w:lang w:val="nn-NO" w:eastAsia="en-US"/>
        </w:rPr>
        <w:t>Sjølvassurandørprinsipp</w:t>
      </w:r>
      <w:r w:rsidRPr="0084232E">
        <w:rPr>
          <w:rFonts w:eastAsiaTheme="minorHAnsi"/>
          <w:lang w:val="nn-NO" w:eastAsia="en-US"/>
        </w:rPr>
        <w:br/>
        <w:t>Staten operer</w:t>
      </w:r>
      <w:r>
        <w:rPr>
          <w:rFonts w:eastAsiaTheme="minorHAnsi"/>
          <w:lang w:val="nn-NO" w:eastAsia="en-US"/>
        </w:rPr>
        <w:t>e</w:t>
      </w:r>
      <w:r w:rsidRPr="0084232E">
        <w:rPr>
          <w:rFonts w:eastAsiaTheme="minorHAnsi"/>
          <w:lang w:val="nn-NO" w:eastAsia="en-US"/>
        </w:rPr>
        <w:t>r som sjølvsassurandør. Det er f</w:t>
      </w:r>
      <w:r>
        <w:rPr>
          <w:rFonts w:eastAsiaTheme="minorHAnsi"/>
          <w:lang w:val="nn-NO" w:eastAsia="en-US"/>
        </w:rPr>
        <w:t>ø</w:t>
      </w:r>
      <w:r w:rsidRPr="0084232E">
        <w:rPr>
          <w:rFonts w:eastAsiaTheme="minorHAnsi"/>
          <w:lang w:val="nn-NO" w:eastAsia="en-US"/>
        </w:rPr>
        <w:t>lgjeleg ikkje inkludert poster i balanse eller resultatrekneskap som søk</w:t>
      </w:r>
      <w:r>
        <w:rPr>
          <w:rFonts w:eastAsiaTheme="minorHAnsi"/>
          <w:lang w:val="nn-NO" w:eastAsia="en-US"/>
        </w:rPr>
        <w:t>j</w:t>
      </w:r>
      <w:r w:rsidRPr="0084232E">
        <w:rPr>
          <w:rFonts w:eastAsiaTheme="minorHAnsi"/>
          <w:lang w:val="nn-NO" w:eastAsia="en-US"/>
        </w:rPr>
        <w:t>er å reflektere alternative netto forsikringskostnadar eller forplikt</w:t>
      </w:r>
      <w:r>
        <w:rPr>
          <w:rFonts w:eastAsiaTheme="minorHAnsi"/>
          <w:lang w:val="nn-NO" w:eastAsia="en-US"/>
        </w:rPr>
        <w:t>ingar</w:t>
      </w:r>
      <w:r w:rsidRPr="0084232E">
        <w:rPr>
          <w:rFonts w:eastAsiaTheme="minorHAnsi"/>
          <w:lang w:val="nn-NO" w:eastAsia="en-US"/>
        </w:rPr>
        <w:t>.</w:t>
      </w:r>
    </w:p>
    <w:p w:rsidR="007A0528" w:rsidRPr="000D32D9" w:rsidRDefault="007A0528" w:rsidP="007A0528">
      <w:pPr>
        <w:spacing w:before="0" w:after="160" w:line="259" w:lineRule="auto"/>
        <w:rPr>
          <w:rFonts w:eastAsiaTheme="minorHAnsi"/>
          <w:lang w:val="nn-NO" w:eastAsia="en-US"/>
        </w:rPr>
      </w:pPr>
      <w:r w:rsidRPr="000D32D9">
        <w:rPr>
          <w:rFonts w:eastAsiaTheme="minorHAnsi"/>
          <w:b/>
          <w:lang w:val="nn-NO" w:eastAsia="en-US"/>
        </w:rPr>
        <w:t>Statens konsernkontoordning</w:t>
      </w:r>
      <w:r w:rsidRPr="000D32D9">
        <w:rPr>
          <w:rFonts w:eastAsiaTheme="minorHAnsi"/>
          <w:lang w:val="nn-NO" w:eastAsia="en-US"/>
        </w:rPr>
        <w:br/>
        <w:t xml:space="preserve">Statlege verksemder </w:t>
      </w:r>
      <w:r>
        <w:rPr>
          <w:rFonts w:eastAsiaTheme="minorHAnsi"/>
          <w:lang w:val="nn-NO" w:eastAsia="en-US"/>
        </w:rPr>
        <w:t xml:space="preserve">er </w:t>
      </w:r>
      <w:r w:rsidRPr="00100022">
        <w:rPr>
          <w:rFonts w:eastAsiaTheme="minorHAnsi"/>
          <w:lang w:val="nn-NO" w:eastAsia="en-US"/>
        </w:rPr>
        <w:t>omfatta</w:t>
      </w:r>
      <w:r w:rsidRPr="000D32D9">
        <w:rPr>
          <w:rFonts w:eastAsiaTheme="minorHAnsi"/>
          <w:lang w:val="nn-NO" w:eastAsia="en-US"/>
        </w:rPr>
        <w:t xml:space="preserve"> av staten</w:t>
      </w:r>
      <w:r>
        <w:rPr>
          <w:rFonts w:eastAsiaTheme="minorHAnsi"/>
          <w:lang w:val="nn-NO" w:eastAsia="en-US"/>
        </w:rPr>
        <w:t xml:space="preserve"> </w:t>
      </w:r>
      <w:r w:rsidRPr="000D32D9">
        <w:rPr>
          <w:rFonts w:eastAsiaTheme="minorHAnsi"/>
          <w:lang w:val="nn-NO" w:eastAsia="en-US"/>
        </w:rPr>
        <w:t>s</w:t>
      </w:r>
      <w:r>
        <w:rPr>
          <w:rFonts w:eastAsiaTheme="minorHAnsi"/>
          <w:lang w:val="nn-NO" w:eastAsia="en-US"/>
        </w:rPr>
        <w:t>i</w:t>
      </w:r>
      <w:r w:rsidRPr="000D32D9">
        <w:rPr>
          <w:rFonts w:eastAsiaTheme="minorHAnsi"/>
          <w:lang w:val="nn-NO" w:eastAsia="en-US"/>
        </w:rPr>
        <w:t xml:space="preserve"> konsernkontoordning. Konsernkontoordninga </w:t>
      </w:r>
      <w:r w:rsidRPr="000D32D9">
        <w:rPr>
          <w:rFonts w:eastAsiaTheme="minorHAnsi"/>
          <w:lang w:val="nn-NO" w:eastAsia="en-US"/>
        </w:rPr>
        <w:lastRenderedPageBreak/>
        <w:t xml:space="preserve">tyder at alle innbetalingar og utbetalingar dagleg </w:t>
      </w:r>
      <w:r>
        <w:rPr>
          <w:rFonts w:eastAsiaTheme="minorHAnsi"/>
          <w:lang w:val="nn-NO" w:eastAsia="en-US"/>
        </w:rPr>
        <w:t>vert gjort</w:t>
      </w:r>
      <w:r w:rsidRPr="000D32D9">
        <w:rPr>
          <w:rFonts w:eastAsiaTheme="minorHAnsi"/>
          <w:lang w:val="nn-NO" w:eastAsia="en-US"/>
        </w:rPr>
        <w:t xml:space="preserve"> opp mot verksemda sine oppgj</w:t>
      </w:r>
      <w:r>
        <w:rPr>
          <w:rFonts w:eastAsiaTheme="minorHAnsi"/>
          <w:lang w:val="nn-NO" w:eastAsia="en-US"/>
        </w:rPr>
        <w:t>e</w:t>
      </w:r>
      <w:r w:rsidRPr="000D32D9">
        <w:rPr>
          <w:rFonts w:eastAsiaTheme="minorHAnsi"/>
          <w:lang w:val="nn-NO" w:eastAsia="en-US"/>
        </w:rPr>
        <w:t xml:space="preserve">rskonti i Noregs Bank. </w:t>
      </w:r>
    </w:p>
    <w:p w:rsidR="007A0528" w:rsidRPr="002B0C46" w:rsidRDefault="007A0528" w:rsidP="007A0528">
      <w:pPr>
        <w:spacing w:before="0" w:after="160" w:line="259" w:lineRule="auto"/>
        <w:rPr>
          <w:rFonts w:eastAsiaTheme="minorHAnsi"/>
          <w:lang w:val="nn-NO" w:eastAsia="en-US"/>
        </w:rPr>
      </w:pPr>
      <w:r w:rsidRPr="00805E9D">
        <w:rPr>
          <w:rFonts w:eastAsiaTheme="minorHAnsi"/>
          <w:lang w:val="nn-NO" w:eastAsia="en-US"/>
        </w:rPr>
        <w:t>LDO</w:t>
      </w:r>
      <w:r>
        <w:rPr>
          <w:rFonts w:eastAsiaTheme="minorHAnsi"/>
          <w:lang w:val="nn-NO" w:eastAsia="en-US"/>
        </w:rPr>
        <w:t xml:space="preserve"> vert</w:t>
      </w:r>
      <w:r w:rsidRPr="00805E9D">
        <w:rPr>
          <w:rFonts w:eastAsiaTheme="minorHAnsi"/>
          <w:lang w:val="nn-NO" w:eastAsia="en-US"/>
        </w:rPr>
        <w:t xml:space="preserve"> tilfør</w:t>
      </w:r>
      <w:r>
        <w:rPr>
          <w:rFonts w:eastAsiaTheme="minorHAnsi"/>
          <w:lang w:val="nn-NO" w:eastAsia="en-US"/>
        </w:rPr>
        <w:t>t</w:t>
      </w:r>
      <w:r w:rsidRPr="00805E9D">
        <w:rPr>
          <w:rFonts w:eastAsiaTheme="minorHAnsi"/>
          <w:lang w:val="nn-NO" w:eastAsia="en-US"/>
        </w:rPr>
        <w:t xml:space="preserve"> likvid</w:t>
      </w:r>
      <w:r>
        <w:rPr>
          <w:rFonts w:eastAsiaTheme="minorHAnsi"/>
          <w:lang w:val="nn-NO" w:eastAsia="en-US"/>
        </w:rPr>
        <w:t>a</w:t>
      </w:r>
      <w:r w:rsidRPr="00805E9D">
        <w:rPr>
          <w:rFonts w:eastAsiaTheme="minorHAnsi"/>
          <w:lang w:val="nn-NO" w:eastAsia="en-US"/>
        </w:rPr>
        <w:t xml:space="preserve">r løpande gjennom året i </w:t>
      </w:r>
      <w:r>
        <w:rPr>
          <w:rFonts w:eastAsiaTheme="minorHAnsi"/>
          <w:lang w:val="nn-NO" w:eastAsia="en-US"/>
        </w:rPr>
        <w:t xml:space="preserve">samsvar med </w:t>
      </w:r>
      <w:r w:rsidRPr="00805E9D">
        <w:rPr>
          <w:rFonts w:eastAsiaTheme="minorHAnsi"/>
          <w:lang w:val="nn-NO" w:eastAsia="en-US"/>
        </w:rPr>
        <w:t>utbetalingsplan frå overord</w:t>
      </w:r>
      <w:r>
        <w:rPr>
          <w:rFonts w:eastAsiaTheme="minorHAnsi"/>
          <w:lang w:val="nn-NO" w:eastAsia="en-US"/>
        </w:rPr>
        <w:t>n</w:t>
      </w:r>
      <w:r w:rsidRPr="00805E9D">
        <w:rPr>
          <w:rFonts w:eastAsiaTheme="minorHAnsi"/>
          <w:lang w:val="nn-NO" w:eastAsia="en-US"/>
        </w:rPr>
        <w:t>a fagdeparte</w:t>
      </w:r>
      <w:r w:rsidR="00E57AF3">
        <w:rPr>
          <w:rFonts w:eastAsiaTheme="minorHAnsi"/>
          <w:lang w:val="nn-NO" w:eastAsia="en-US"/>
        </w:rPr>
        <w:t>meint</w:t>
      </w:r>
      <w:r w:rsidRPr="00805E9D">
        <w:rPr>
          <w:rFonts w:eastAsiaTheme="minorHAnsi"/>
          <w:lang w:val="nn-NO" w:eastAsia="en-US"/>
        </w:rPr>
        <w:t xml:space="preserve">. </w:t>
      </w:r>
      <w:r w:rsidRPr="002B0C46">
        <w:rPr>
          <w:rFonts w:eastAsiaTheme="minorHAnsi"/>
          <w:lang w:val="nn-NO" w:eastAsia="en-US"/>
        </w:rPr>
        <w:t>LDO disponer</w:t>
      </w:r>
      <w:r>
        <w:rPr>
          <w:rFonts w:eastAsiaTheme="minorHAnsi"/>
          <w:lang w:val="nn-NO" w:eastAsia="en-US"/>
        </w:rPr>
        <w:t>e</w:t>
      </w:r>
      <w:r w:rsidRPr="002B0C46">
        <w:rPr>
          <w:rFonts w:eastAsiaTheme="minorHAnsi"/>
          <w:lang w:val="nn-NO" w:eastAsia="en-US"/>
        </w:rPr>
        <w:t>r eigen oppgj</w:t>
      </w:r>
      <w:r>
        <w:rPr>
          <w:rFonts w:eastAsiaTheme="minorHAnsi"/>
          <w:lang w:val="nn-NO" w:eastAsia="en-US"/>
        </w:rPr>
        <w:t>e</w:t>
      </w:r>
      <w:r w:rsidRPr="002B0C46">
        <w:rPr>
          <w:rFonts w:eastAsiaTheme="minorHAnsi"/>
          <w:lang w:val="nn-NO" w:eastAsia="en-US"/>
        </w:rPr>
        <w:t xml:space="preserve">rskonto i konsernkontoordninga i Noregs Bank. Denne </w:t>
      </w:r>
      <w:r>
        <w:rPr>
          <w:rFonts w:eastAsiaTheme="minorHAnsi"/>
          <w:lang w:val="nn-NO" w:eastAsia="en-US"/>
        </w:rPr>
        <w:t xml:space="preserve">vert ikkje </w:t>
      </w:r>
      <w:r w:rsidRPr="002B0C46">
        <w:rPr>
          <w:rFonts w:eastAsiaTheme="minorHAnsi"/>
          <w:lang w:val="nn-NO" w:eastAsia="en-US"/>
        </w:rPr>
        <w:t>renteberekn</w:t>
      </w:r>
      <w:r>
        <w:rPr>
          <w:rFonts w:eastAsiaTheme="minorHAnsi"/>
          <w:lang w:val="nn-NO" w:eastAsia="en-US"/>
        </w:rPr>
        <w:t>a</w:t>
      </w:r>
      <w:r w:rsidRPr="002B0C46">
        <w:rPr>
          <w:rFonts w:eastAsiaTheme="minorHAnsi"/>
          <w:lang w:val="nn-NO" w:eastAsia="en-US"/>
        </w:rPr>
        <w:t>. Som nettobudsjettert verksemd beh</w:t>
      </w:r>
      <w:r>
        <w:rPr>
          <w:rFonts w:eastAsiaTheme="minorHAnsi"/>
          <w:lang w:val="nn-NO" w:eastAsia="en-US"/>
        </w:rPr>
        <w:t>e</w:t>
      </w:r>
      <w:r w:rsidRPr="002B0C46">
        <w:rPr>
          <w:rFonts w:eastAsiaTheme="minorHAnsi"/>
          <w:lang w:val="nn-NO" w:eastAsia="en-US"/>
        </w:rPr>
        <w:t xml:space="preserve">ld LDO likviditeten ved årets slutt. </w:t>
      </w:r>
    </w:p>
    <w:p w:rsidR="007A0528" w:rsidRDefault="007A0528" w:rsidP="007A0528">
      <w:r w:rsidRPr="002B0C46">
        <w:rPr>
          <w:rFonts w:eastAsiaTheme="minorHAnsi"/>
          <w:b/>
          <w:lang w:val="nn-NO" w:eastAsia="en-US"/>
        </w:rPr>
        <w:t>Kontantstr</w:t>
      </w:r>
      <w:r>
        <w:rPr>
          <w:rFonts w:eastAsiaTheme="minorHAnsi"/>
          <w:b/>
          <w:lang w:val="nn-NO" w:eastAsia="en-US"/>
        </w:rPr>
        <w:t>au</w:t>
      </w:r>
      <w:r w:rsidRPr="002B0C46">
        <w:rPr>
          <w:rFonts w:eastAsiaTheme="minorHAnsi"/>
          <w:b/>
          <w:lang w:val="nn-NO" w:eastAsia="en-US"/>
        </w:rPr>
        <w:t>moppstillinga</w:t>
      </w:r>
      <w:r w:rsidRPr="002B0C46">
        <w:rPr>
          <w:rFonts w:eastAsiaTheme="minorHAnsi"/>
          <w:lang w:val="nn-NO" w:eastAsia="en-US"/>
        </w:rPr>
        <w:br/>
        <w:t>Kontantstr</w:t>
      </w:r>
      <w:r>
        <w:rPr>
          <w:rFonts w:eastAsiaTheme="minorHAnsi"/>
          <w:lang w:val="nn-NO" w:eastAsia="en-US"/>
        </w:rPr>
        <w:t>au</w:t>
      </w:r>
      <w:r w:rsidRPr="002B0C46">
        <w:rPr>
          <w:rFonts w:eastAsiaTheme="minorHAnsi"/>
          <w:lang w:val="nn-NO" w:eastAsia="en-US"/>
        </w:rPr>
        <w:t>moppstillinga er utarbeid</w:t>
      </w:r>
      <w:r>
        <w:rPr>
          <w:rFonts w:eastAsiaTheme="minorHAnsi"/>
          <w:lang w:val="nn-NO" w:eastAsia="en-US"/>
        </w:rPr>
        <w:t>d</w:t>
      </w:r>
      <w:r w:rsidRPr="002B0C46">
        <w:rPr>
          <w:rFonts w:eastAsiaTheme="minorHAnsi"/>
          <w:lang w:val="nn-NO" w:eastAsia="en-US"/>
        </w:rPr>
        <w:t xml:space="preserve"> etter den direkte modellen tilpassa statlege verksemder. LDO har som nettobudsjettert verksemd utarbeid</w:t>
      </w:r>
      <w:r>
        <w:rPr>
          <w:rFonts w:eastAsiaTheme="minorHAnsi"/>
          <w:lang w:val="nn-NO" w:eastAsia="en-US"/>
        </w:rPr>
        <w:t>d</w:t>
      </w:r>
      <w:r w:rsidRPr="002B0C46">
        <w:rPr>
          <w:rFonts w:eastAsiaTheme="minorHAnsi"/>
          <w:lang w:val="nn-NO" w:eastAsia="en-US"/>
        </w:rPr>
        <w:t xml:space="preserve"> kontantstr</w:t>
      </w:r>
      <w:r>
        <w:rPr>
          <w:rFonts w:eastAsiaTheme="minorHAnsi"/>
          <w:lang w:val="nn-NO" w:eastAsia="en-US"/>
        </w:rPr>
        <w:t>au</w:t>
      </w:r>
      <w:r w:rsidRPr="002B0C46">
        <w:rPr>
          <w:rFonts w:eastAsiaTheme="minorHAnsi"/>
          <w:lang w:val="nn-NO" w:eastAsia="en-US"/>
        </w:rPr>
        <w:t>moppstillin</w:t>
      </w:r>
      <w:r>
        <w:rPr>
          <w:rFonts w:eastAsiaTheme="minorHAnsi"/>
          <w:lang w:val="nn-NO" w:eastAsia="en-US"/>
        </w:rPr>
        <w:t>g.</w:t>
      </w:r>
    </w:p>
    <w:p w:rsidR="00207068" w:rsidRPr="00620219" w:rsidRDefault="00207068">
      <w:pPr>
        <w:rPr>
          <w:lang w:val="nn-NO"/>
        </w:rPr>
      </w:pPr>
    </w:p>
    <w:sectPr w:rsidR="00207068" w:rsidRPr="0062021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64" w:rsidRDefault="00C81C64" w:rsidP="00650938">
      <w:pPr>
        <w:spacing w:before="0" w:after="0"/>
      </w:pPr>
      <w:r>
        <w:separator/>
      </w:r>
    </w:p>
  </w:endnote>
  <w:endnote w:type="continuationSeparator" w:id="0">
    <w:p w:rsidR="00C81C64" w:rsidRDefault="00C81C64" w:rsidP="006509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mn-ea">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3634"/>
      <w:docPartObj>
        <w:docPartGallery w:val="Page Numbers (Bottom of Page)"/>
        <w:docPartUnique/>
      </w:docPartObj>
    </w:sdtPr>
    <w:sdtEndPr/>
    <w:sdtContent>
      <w:p w:rsidR="00C81C64" w:rsidRDefault="00C81C64">
        <w:pPr>
          <w:pStyle w:val="Bunntekst"/>
          <w:jc w:val="right"/>
        </w:pPr>
        <w:r>
          <w:fldChar w:fldCharType="begin"/>
        </w:r>
        <w:r>
          <w:instrText>PAGE   \* MERGEFORMAT</w:instrText>
        </w:r>
        <w:r>
          <w:fldChar w:fldCharType="separate"/>
        </w:r>
        <w:r w:rsidR="00BD4FBF">
          <w:rPr>
            <w:noProof/>
          </w:rPr>
          <w:t>4</w:t>
        </w:r>
        <w:r>
          <w:fldChar w:fldCharType="end"/>
        </w:r>
      </w:p>
    </w:sdtContent>
  </w:sdt>
  <w:p w:rsidR="00C81C64" w:rsidRDefault="00C81C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64" w:rsidRDefault="00C81C64" w:rsidP="00650938">
      <w:pPr>
        <w:spacing w:before="0" w:after="0"/>
      </w:pPr>
      <w:r>
        <w:separator/>
      </w:r>
    </w:p>
  </w:footnote>
  <w:footnote w:type="continuationSeparator" w:id="0">
    <w:p w:rsidR="00C81C64" w:rsidRDefault="00C81C64" w:rsidP="00650938">
      <w:pPr>
        <w:spacing w:before="0" w:after="0"/>
      </w:pPr>
      <w:r>
        <w:continuationSeparator/>
      </w:r>
    </w:p>
  </w:footnote>
  <w:footnote w:id="1">
    <w:p w:rsidR="00C81C64" w:rsidRPr="002E4686" w:rsidRDefault="00C81C64" w:rsidP="00650938">
      <w:pPr>
        <w:pStyle w:val="Fotnotetekst"/>
      </w:pPr>
      <w:r>
        <w:rPr>
          <w:rStyle w:val="Fotnotereferanse"/>
        </w:rPr>
        <w:footnoteRef/>
      </w:r>
      <w:r>
        <w:t xml:space="preserve"> Antirasistisk Senter, Juridisk r</w:t>
      </w:r>
      <w:r w:rsidRPr="00DC46F0">
        <w:t xml:space="preserve">ådgivning for </w:t>
      </w:r>
      <w:r>
        <w:t>k</w:t>
      </w:r>
      <w:r w:rsidRPr="00DC46F0">
        <w:t>vinner</w:t>
      </w:r>
      <w:r>
        <w:t xml:space="preserve">, </w:t>
      </w:r>
      <w:r w:rsidRPr="00DC46F0">
        <w:t>Krisesentersekretariatet</w:t>
      </w:r>
      <w:r>
        <w:t xml:space="preserve">, </w:t>
      </w:r>
      <w:r w:rsidRPr="00DC46F0">
        <w:t>FRI</w:t>
      </w:r>
      <w:r>
        <w:t xml:space="preserve">, </w:t>
      </w:r>
      <w:r w:rsidRPr="00DC46F0">
        <w:t>Funksjonsh</w:t>
      </w:r>
      <w:r>
        <w:t xml:space="preserve">emmedes Fellesorganisasjon, Meintal Helse, </w:t>
      </w:r>
      <w:r w:rsidRPr="00DC46F0">
        <w:t>MiRA ressurssenter for kvinner med minoritetsbakgrunn</w:t>
      </w:r>
      <w:r>
        <w:t>, Noreg</w:t>
      </w:r>
      <w:r w:rsidRPr="00DC46F0">
        <w:t>s Handikapforbund</w:t>
      </w:r>
      <w:r>
        <w:t xml:space="preserve">, </w:t>
      </w:r>
      <w:r w:rsidRPr="00DC46F0">
        <w:t>O</w:t>
      </w:r>
      <w:r>
        <w:t>MOD - o</w:t>
      </w:r>
      <w:r w:rsidRPr="00DC46F0">
        <w:t>rganisasjo</w:t>
      </w:r>
      <w:r>
        <w:t xml:space="preserve">n mot offentlig diskriminering, </w:t>
      </w:r>
      <w:r w:rsidRPr="00DC46F0">
        <w:t>Reform - ressurssenter for menn</w:t>
      </w:r>
      <w:r>
        <w:t xml:space="preserve">, </w:t>
      </w:r>
      <w:r w:rsidRPr="00DC46F0">
        <w:t>Samarbeidsrådet for tros- og livssynssamfunn</w:t>
      </w:r>
      <w:r>
        <w:t>,</w:t>
      </w:r>
      <w:r w:rsidRPr="00DC46F0">
        <w:t xml:space="preserve"> Samisk KvinneForum</w:t>
      </w:r>
      <w:r>
        <w:t xml:space="preserve">, </w:t>
      </w:r>
      <w:r w:rsidRPr="002E4686">
        <w:t xml:space="preserve">Unge </w:t>
      </w:r>
      <w:r>
        <w:t>f</w:t>
      </w:r>
      <w:r w:rsidRPr="002E4686">
        <w:t>unksjonshemmede</w:t>
      </w:r>
      <w:r>
        <w:t xml:space="preserve"> og </w:t>
      </w:r>
      <w:r w:rsidRPr="002E4686">
        <w:t xml:space="preserve">Alternativ til </w:t>
      </w:r>
      <w:r>
        <w:t>V</w:t>
      </w:r>
      <w:r w:rsidRPr="002E4686">
        <w:t>old</w:t>
      </w:r>
    </w:p>
    <w:p w:rsidR="00C81C64" w:rsidRDefault="00C81C64" w:rsidP="0065093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4035"/>
    <w:multiLevelType w:val="hybridMultilevel"/>
    <w:tmpl w:val="C91248A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DD33D7"/>
    <w:multiLevelType w:val="hybridMultilevel"/>
    <w:tmpl w:val="1FD2105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 w15:restartNumberingAfterBreak="0">
    <w:nsid w:val="644D292A"/>
    <w:multiLevelType w:val="hybridMultilevel"/>
    <w:tmpl w:val="D27453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7D17EE6"/>
    <w:multiLevelType w:val="hybridMultilevel"/>
    <w:tmpl w:val="CA0CCC9A"/>
    <w:lvl w:ilvl="0" w:tplc="10E4656E">
      <w:start w:val="1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8C74533"/>
    <w:multiLevelType w:val="hybridMultilevel"/>
    <w:tmpl w:val="D9C269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A252CCB"/>
    <w:multiLevelType w:val="multilevel"/>
    <w:tmpl w:val="1D62B6FE"/>
    <w:lvl w:ilvl="0">
      <w:start w:val="1"/>
      <w:numFmt w:val="decimal"/>
      <w:pStyle w:val="Overskrift1"/>
      <w:suff w:val="space"/>
      <w:lvlText w:val="Kapittel %1"/>
      <w:lvlJc w:val="left"/>
      <w:pPr>
        <w:ind w:left="0" w:firstLine="0"/>
      </w:pPr>
      <w:rPr>
        <w:rFonts w:hint="default"/>
        <w:b/>
        <w:sz w:val="36"/>
      </w:rPr>
    </w:lvl>
    <w:lvl w:ilvl="1">
      <w:start w:val="1"/>
      <w:numFmt w:val="decimal"/>
      <w:pStyle w:val="Overskrift2"/>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38"/>
    <w:rsid w:val="000001D4"/>
    <w:rsid w:val="00000D7E"/>
    <w:rsid w:val="00002F5F"/>
    <w:rsid w:val="000049C9"/>
    <w:rsid w:val="00011A0E"/>
    <w:rsid w:val="000128CF"/>
    <w:rsid w:val="00014E1E"/>
    <w:rsid w:val="00015F3E"/>
    <w:rsid w:val="00021D6B"/>
    <w:rsid w:val="0002226C"/>
    <w:rsid w:val="000276B5"/>
    <w:rsid w:val="00030C5A"/>
    <w:rsid w:val="00030DDC"/>
    <w:rsid w:val="000346B9"/>
    <w:rsid w:val="0003618F"/>
    <w:rsid w:val="000367C3"/>
    <w:rsid w:val="00041466"/>
    <w:rsid w:val="000422C9"/>
    <w:rsid w:val="00042AA3"/>
    <w:rsid w:val="000440C0"/>
    <w:rsid w:val="00045983"/>
    <w:rsid w:val="00046311"/>
    <w:rsid w:val="00046C3C"/>
    <w:rsid w:val="00054E1A"/>
    <w:rsid w:val="00056DDF"/>
    <w:rsid w:val="00057362"/>
    <w:rsid w:val="00061FDC"/>
    <w:rsid w:val="00062182"/>
    <w:rsid w:val="0006364D"/>
    <w:rsid w:val="000665CA"/>
    <w:rsid w:val="00066CD2"/>
    <w:rsid w:val="000673B4"/>
    <w:rsid w:val="0007073E"/>
    <w:rsid w:val="0007345A"/>
    <w:rsid w:val="000770C4"/>
    <w:rsid w:val="00077BDF"/>
    <w:rsid w:val="00082F9B"/>
    <w:rsid w:val="00085AB7"/>
    <w:rsid w:val="00085FF5"/>
    <w:rsid w:val="000873CE"/>
    <w:rsid w:val="000906DE"/>
    <w:rsid w:val="0009240C"/>
    <w:rsid w:val="00092CA5"/>
    <w:rsid w:val="000A35FE"/>
    <w:rsid w:val="000A583D"/>
    <w:rsid w:val="000A741B"/>
    <w:rsid w:val="000B1516"/>
    <w:rsid w:val="000B5002"/>
    <w:rsid w:val="000B6512"/>
    <w:rsid w:val="000B6B4E"/>
    <w:rsid w:val="000C30EE"/>
    <w:rsid w:val="000C3F21"/>
    <w:rsid w:val="000C482C"/>
    <w:rsid w:val="000C4C1C"/>
    <w:rsid w:val="000C6510"/>
    <w:rsid w:val="000D2E22"/>
    <w:rsid w:val="000D3239"/>
    <w:rsid w:val="000D44FD"/>
    <w:rsid w:val="000D4628"/>
    <w:rsid w:val="000D5E3B"/>
    <w:rsid w:val="000D6A81"/>
    <w:rsid w:val="000D6BBF"/>
    <w:rsid w:val="000D7901"/>
    <w:rsid w:val="000E23B0"/>
    <w:rsid w:val="000E3D90"/>
    <w:rsid w:val="000E7EF0"/>
    <w:rsid w:val="000F03D3"/>
    <w:rsid w:val="000F3776"/>
    <w:rsid w:val="00103F3D"/>
    <w:rsid w:val="00117DF1"/>
    <w:rsid w:val="00120488"/>
    <w:rsid w:val="00122B40"/>
    <w:rsid w:val="00122B49"/>
    <w:rsid w:val="001277E6"/>
    <w:rsid w:val="0012780E"/>
    <w:rsid w:val="001350FC"/>
    <w:rsid w:val="001420AA"/>
    <w:rsid w:val="00152773"/>
    <w:rsid w:val="001537E4"/>
    <w:rsid w:val="0016278F"/>
    <w:rsid w:val="0016542C"/>
    <w:rsid w:val="00166307"/>
    <w:rsid w:val="00167B4E"/>
    <w:rsid w:val="00175DF1"/>
    <w:rsid w:val="001767F0"/>
    <w:rsid w:val="00182C47"/>
    <w:rsid w:val="00182E53"/>
    <w:rsid w:val="001838ED"/>
    <w:rsid w:val="001A1DC2"/>
    <w:rsid w:val="001A4E2C"/>
    <w:rsid w:val="001A6059"/>
    <w:rsid w:val="001B2A4F"/>
    <w:rsid w:val="001B415E"/>
    <w:rsid w:val="001B5F56"/>
    <w:rsid w:val="001C60F2"/>
    <w:rsid w:val="001D091C"/>
    <w:rsid w:val="001D0BDE"/>
    <w:rsid w:val="001D3E32"/>
    <w:rsid w:val="001D40AE"/>
    <w:rsid w:val="001E11A3"/>
    <w:rsid w:val="001E33AC"/>
    <w:rsid w:val="001E3D03"/>
    <w:rsid w:val="001F3C41"/>
    <w:rsid w:val="001F787A"/>
    <w:rsid w:val="00200817"/>
    <w:rsid w:val="00207068"/>
    <w:rsid w:val="00207074"/>
    <w:rsid w:val="00207D04"/>
    <w:rsid w:val="002201FD"/>
    <w:rsid w:val="00221F7A"/>
    <w:rsid w:val="00223618"/>
    <w:rsid w:val="00230DD1"/>
    <w:rsid w:val="002334D4"/>
    <w:rsid w:val="00234396"/>
    <w:rsid w:val="00255232"/>
    <w:rsid w:val="00255C60"/>
    <w:rsid w:val="002575DC"/>
    <w:rsid w:val="00262265"/>
    <w:rsid w:val="00263217"/>
    <w:rsid w:val="0026497A"/>
    <w:rsid w:val="00267718"/>
    <w:rsid w:val="00271738"/>
    <w:rsid w:val="00280F7D"/>
    <w:rsid w:val="00283088"/>
    <w:rsid w:val="002857F9"/>
    <w:rsid w:val="00290B7A"/>
    <w:rsid w:val="0029130D"/>
    <w:rsid w:val="00293941"/>
    <w:rsid w:val="002944E6"/>
    <w:rsid w:val="002A32BE"/>
    <w:rsid w:val="002A6BA7"/>
    <w:rsid w:val="002B692B"/>
    <w:rsid w:val="002B72CA"/>
    <w:rsid w:val="002C10DF"/>
    <w:rsid w:val="002C1FEF"/>
    <w:rsid w:val="002C61C5"/>
    <w:rsid w:val="002C6484"/>
    <w:rsid w:val="002C6C7D"/>
    <w:rsid w:val="002D19A2"/>
    <w:rsid w:val="002D2511"/>
    <w:rsid w:val="002D3384"/>
    <w:rsid w:val="002D6CEB"/>
    <w:rsid w:val="002D6FD0"/>
    <w:rsid w:val="002E05FB"/>
    <w:rsid w:val="002E3F8A"/>
    <w:rsid w:val="002F03E4"/>
    <w:rsid w:val="002F3647"/>
    <w:rsid w:val="002F6513"/>
    <w:rsid w:val="002F78BE"/>
    <w:rsid w:val="00300289"/>
    <w:rsid w:val="00303D85"/>
    <w:rsid w:val="00305782"/>
    <w:rsid w:val="003101FD"/>
    <w:rsid w:val="0031539A"/>
    <w:rsid w:val="00315A3D"/>
    <w:rsid w:val="00324B8C"/>
    <w:rsid w:val="0032526D"/>
    <w:rsid w:val="003276EB"/>
    <w:rsid w:val="00327DE5"/>
    <w:rsid w:val="00335BE6"/>
    <w:rsid w:val="00336D25"/>
    <w:rsid w:val="00341BE0"/>
    <w:rsid w:val="0034278F"/>
    <w:rsid w:val="0035110D"/>
    <w:rsid w:val="00353F13"/>
    <w:rsid w:val="003564FA"/>
    <w:rsid w:val="00356A25"/>
    <w:rsid w:val="00357E35"/>
    <w:rsid w:val="00370111"/>
    <w:rsid w:val="00370CDA"/>
    <w:rsid w:val="00372912"/>
    <w:rsid w:val="0037541B"/>
    <w:rsid w:val="003761BA"/>
    <w:rsid w:val="003821CC"/>
    <w:rsid w:val="00383EF6"/>
    <w:rsid w:val="003922CD"/>
    <w:rsid w:val="0039259C"/>
    <w:rsid w:val="00394BDB"/>
    <w:rsid w:val="003A5B9A"/>
    <w:rsid w:val="003A671A"/>
    <w:rsid w:val="003A6870"/>
    <w:rsid w:val="003A78C2"/>
    <w:rsid w:val="003A7D3F"/>
    <w:rsid w:val="003B5D8E"/>
    <w:rsid w:val="003C284A"/>
    <w:rsid w:val="003C2D28"/>
    <w:rsid w:val="003D007A"/>
    <w:rsid w:val="003D1F07"/>
    <w:rsid w:val="003D2CBA"/>
    <w:rsid w:val="003D548B"/>
    <w:rsid w:val="003E0DA6"/>
    <w:rsid w:val="003E0FFC"/>
    <w:rsid w:val="003E118E"/>
    <w:rsid w:val="003E6245"/>
    <w:rsid w:val="003E6BF4"/>
    <w:rsid w:val="003F1C84"/>
    <w:rsid w:val="003F32E5"/>
    <w:rsid w:val="003F4093"/>
    <w:rsid w:val="003F4135"/>
    <w:rsid w:val="003F4773"/>
    <w:rsid w:val="003F4EB5"/>
    <w:rsid w:val="003F6F70"/>
    <w:rsid w:val="00400E93"/>
    <w:rsid w:val="004035DC"/>
    <w:rsid w:val="00405970"/>
    <w:rsid w:val="00411129"/>
    <w:rsid w:val="0041269D"/>
    <w:rsid w:val="00412AD5"/>
    <w:rsid w:val="00417D3E"/>
    <w:rsid w:val="00421A16"/>
    <w:rsid w:val="004220B1"/>
    <w:rsid w:val="00422A7D"/>
    <w:rsid w:val="004248E8"/>
    <w:rsid w:val="004304C3"/>
    <w:rsid w:val="00432A79"/>
    <w:rsid w:val="00432F2F"/>
    <w:rsid w:val="00433B70"/>
    <w:rsid w:val="00435BFF"/>
    <w:rsid w:val="0044135D"/>
    <w:rsid w:val="004425FC"/>
    <w:rsid w:val="00442773"/>
    <w:rsid w:val="004427AE"/>
    <w:rsid w:val="004432C0"/>
    <w:rsid w:val="004501A0"/>
    <w:rsid w:val="0045222C"/>
    <w:rsid w:val="00454769"/>
    <w:rsid w:val="00457ADB"/>
    <w:rsid w:val="00460697"/>
    <w:rsid w:val="004606C3"/>
    <w:rsid w:val="00460F64"/>
    <w:rsid w:val="00463376"/>
    <w:rsid w:val="00466B33"/>
    <w:rsid w:val="00473CEF"/>
    <w:rsid w:val="00474AD9"/>
    <w:rsid w:val="0047565C"/>
    <w:rsid w:val="00475BF2"/>
    <w:rsid w:val="00475C48"/>
    <w:rsid w:val="00477933"/>
    <w:rsid w:val="00477FB8"/>
    <w:rsid w:val="004822C3"/>
    <w:rsid w:val="004837BF"/>
    <w:rsid w:val="00483F6A"/>
    <w:rsid w:val="00490A67"/>
    <w:rsid w:val="00490CDE"/>
    <w:rsid w:val="0049178A"/>
    <w:rsid w:val="00494DF2"/>
    <w:rsid w:val="00494FFF"/>
    <w:rsid w:val="00496945"/>
    <w:rsid w:val="004A115E"/>
    <w:rsid w:val="004A1DA7"/>
    <w:rsid w:val="004A28D1"/>
    <w:rsid w:val="004B26C1"/>
    <w:rsid w:val="004B2FD3"/>
    <w:rsid w:val="004B47BB"/>
    <w:rsid w:val="004B77F2"/>
    <w:rsid w:val="004B7D95"/>
    <w:rsid w:val="004C338A"/>
    <w:rsid w:val="004C680D"/>
    <w:rsid w:val="004D10C7"/>
    <w:rsid w:val="004D71FC"/>
    <w:rsid w:val="004E2475"/>
    <w:rsid w:val="004E4C91"/>
    <w:rsid w:val="004E5574"/>
    <w:rsid w:val="004E564F"/>
    <w:rsid w:val="004F0D79"/>
    <w:rsid w:val="004F348B"/>
    <w:rsid w:val="004F756A"/>
    <w:rsid w:val="00505EFA"/>
    <w:rsid w:val="00505F2C"/>
    <w:rsid w:val="00512316"/>
    <w:rsid w:val="005138C2"/>
    <w:rsid w:val="0051558A"/>
    <w:rsid w:val="00515C06"/>
    <w:rsid w:val="00517E56"/>
    <w:rsid w:val="005222F0"/>
    <w:rsid w:val="0053001B"/>
    <w:rsid w:val="0053067B"/>
    <w:rsid w:val="00540A20"/>
    <w:rsid w:val="00541F5E"/>
    <w:rsid w:val="0054330E"/>
    <w:rsid w:val="005511C4"/>
    <w:rsid w:val="00555B84"/>
    <w:rsid w:val="0056066A"/>
    <w:rsid w:val="00560FAD"/>
    <w:rsid w:val="00561004"/>
    <w:rsid w:val="00564F54"/>
    <w:rsid w:val="00565001"/>
    <w:rsid w:val="00565124"/>
    <w:rsid w:val="005726E3"/>
    <w:rsid w:val="005766A0"/>
    <w:rsid w:val="00580E65"/>
    <w:rsid w:val="00580F34"/>
    <w:rsid w:val="00585097"/>
    <w:rsid w:val="005859D1"/>
    <w:rsid w:val="00587001"/>
    <w:rsid w:val="005923C6"/>
    <w:rsid w:val="0059481A"/>
    <w:rsid w:val="00595F2A"/>
    <w:rsid w:val="0059743E"/>
    <w:rsid w:val="005977BF"/>
    <w:rsid w:val="005A1972"/>
    <w:rsid w:val="005A1A7D"/>
    <w:rsid w:val="005A65F1"/>
    <w:rsid w:val="005B0C8C"/>
    <w:rsid w:val="005B15B3"/>
    <w:rsid w:val="005B413B"/>
    <w:rsid w:val="005C076F"/>
    <w:rsid w:val="005C40E9"/>
    <w:rsid w:val="005C4E7E"/>
    <w:rsid w:val="005D085D"/>
    <w:rsid w:val="005D2BDD"/>
    <w:rsid w:val="005D78A0"/>
    <w:rsid w:val="005E01E2"/>
    <w:rsid w:val="005E04C8"/>
    <w:rsid w:val="005E58AB"/>
    <w:rsid w:val="005E7714"/>
    <w:rsid w:val="005F44CE"/>
    <w:rsid w:val="005F621B"/>
    <w:rsid w:val="00601C42"/>
    <w:rsid w:val="00606735"/>
    <w:rsid w:val="00610014"/>
    <w:rsid w:val="0061289F"/>
    <w:rsid w:val="00614102"/>
    <w:rsid w:val="00614852"/>
    <w:rsid w:val="00616D07"/>
    <w:rsid w:val="00620219"/>
    <w:rsid w:val="00623E7A"/>
    <w:rsid w:val="0062598F"/>
    <w:rsid w:val="0063287C"/>
    <w:rsid w:val="00641A7F"/>
    <w:rsid w:val="0064446C"/>
    <w:rsid w:val="00647302"/>
    <w:rsid w:val="00650938"/>
    <w:rsid w:val="0065178F"/>
    <w:rsid w:val="006549A8"/>
    <w:rsid w:val="00656600"/>
    <w:rsid w:val="00660DA8"/>
    <w:rsid w:val="00662DC9"/>
    <w:rsid w:val="00663D04"/>
    <w:rsid w:val="0066648B"/>
    <w:rsid w:val="00666F3D"/>
    <w:rsid w:val="00675F49"/>
    <w:rsid w:val="00676C0D"/>
    <w:rsid w:val="006777DB"/>
    <w:rsid w:val="00683288"/>
    <w:rsid w:val="006868CE"/>
    <w:rsid w:val="00693177"/>
    <w:rsid w:val="00693F4C"/>
    <w:rsid w:val="00695454"/>
    <w:rsid w:val="006A0EE9"/>
    <w:rsid w:val="006A5DAB"/>
    <w:rsid w:val="006A61CB"/>
    <w:rsid w:val="006A7E68"/>
    <w:rsid w:val="006B044D"/>
    <w:rsid w:val="006B1264"/>
    <w:rsid w:val="006B3FA2"/>
    <w:rsid w:val="006B4533"/>
    <w:rsid w:val="006B535F"/>
    <w:rsid w:val="006B60E4"/>
    <w:rsid w:val="006C0317"/>
    <w:rsid w:val="006C0C98"/>
    <w:rsid w:val="006D18C5"/>
    <w:rsid w:val="006D5F26"/>
    <w:rsid w:val="006D7632"/>
    <w:rsid w:val="006E442C"/>
    <w:rsid w:val="006E5081"/>
    <w:rsid w:val="006E54FD"/>
    <w:rsid w:val="006F48BA"/>
    <w:rsid w:val="006F59F7"/>
    <w:rsid w:val="006F67E1"/>
    <w:rsid w:val="006F6CE7"/>
    <w:rsid w:val="006F7D3E"/>
    <w:rsid w:val="00701AE6"/>
    <w:rsid w:val="0070215E"/>
    <w:rsid w:val="00702265"/>
    <w:rsid w:val="0071199A"/>
    <w:rsid w:val="00717737"/>
    <w:rsid w:val="007213A0"/>
    <w:rsid w:val="00721537"/>
    <w:rsid w:val="00721965"/>
    <w:rsid w:val="00726987"/>
    <w:rsid w:val="00726B39"/>
    <w:rsid w:val="0072754E"/>
    <w:rsid w:val="00730161"/>
    <w:rsid w:val="007315B4"/>
    <w:rsid w:val="00731BC1"/>
    <w:rsid w:val="007349F1"/>
    <w:rsid w:val="00741972"/>
    <w:rsid w:val="0074612F"/>
    <w:rsid w:val="007465BD"/>
    <w:rsid w:val="00747798"/>
    <w:rsid w:val="00750006"/>
    <w:rsid w:val="00750C9E"/>
    <w:rsid w:val="00751601"/>
    <w:rsid w:val="00751DE0"/>
    <w:rsid w:val="0075604B"/>
    <w:rsid w:val="0076163E"/>
    <w:rsid w:val="00762431"/>
    <w:rsid w:val="007625F8"/>
    <w:rsid w:val="007636ED"/>
    <w:rsid w:val="00764B97"/>
    <w:rsid w:val="007671E2"/>
    <w:rsid w:val="00767DE3"/>
    <w:rsid w:val="0077094D"/>
    <w:rsid w:val="007718D1"/>
    <w:rsid w:val="00772F10"/>
    <w:rsid w:val="00774F4A"/>
    <w:rsid w:val="00780CD6"/>
    <w:rsid w:val="00786002"/>
    <w:rsid w:val="00790D12"/>
    <w:rsid w:val="0079127C"/>
    <w:rsid w:val="00791429"/>
    <w:rsid w:val="007948DD"/>
    <w:rsid w:val="00795B74"/>
    <w:rsid w:val="00797F5D"/>
    <w:rsid w:val="007A0528"/>
    <w:rsid w:val="007A3963"/>
    <w:rsid w:val="007A3E10"/>
    <w:rsid w:val="007A3F84"/>
    <w:rsid w:val="007A4353"/>
    <w:rsid w:val="007A4FE1"/>
    <w:rsid w:val="007A7ED4"/>
    <w:rsid w:val="007B0BA5"/>
    <w:rsid w:val="007B0BDF"/>
    <w:rsid w:val="007B5C19"/>
    <w:rsid w:val="007B5CD7"/>
    <w:rsid w:val="007B6736"/>
    <w:rsid w:val="007B7CE9"/>
    <w:rsid w:val="007C208E"/>
    <w:rsid w:val="007C4AD1"/>
    <w:rsid w:val="007D0842"/>
    <w:rsid w:val="007D2255"/>
    <w:rsid w:val="007D46B2"/>
    <w:rsid w:val="007D6C0A"/>
    <w:rsid w:val="007E25DC"/>
    <w:rsid w:val="007E3D93"/>
    <w:rsid w:val="007E45A4"/>
    <w:rsid w:val="007E4AE1"/>
    <w:rsid w:val="007E4C4D"/>
    <w:rsid w:val="007F616A"/>
    <w:rsid w:val="00801104"/>
    <w:rsid w:val="00801D7E"/>
    <w:rsid w:val="00802A30"/>
    <w:rsid w:val="0080325A"/>
    <w:rsid w:val="00807E79"/>
    <w:rsid w:val="00810EC0"/>
    <w:rsid w:val="00816DD5"/>
    <w:rsid w:val="008220E4"/>
    <w:rsid w:val="00824662"/>
    <w:rsid w:val="00832D14"/>
    <w:rsid w:val="00833383"/>
    <w:rsid w:val="008334E3"/>
    <w:rsid w:val="00840885"/>
    <w:rsid w:val="00843A4F"/>
    <w:rsid w:val="00843AE8"/>
    <w:rsid w:val="00843BAA"/>
    <w:rsid w:val="008442B3"/>
    <w:rsid w:val="008471B7"/>
    <w:rsid w:val="0085233B"/>
    <w:rsid w:val="00854382"/>
    <w:rsid w:val="00857027"/>
    <w:rsid w:val="0085793B"/>
    <w:rsid w:val="008617F3"/>
    <w:rsid w:val="00862D1D"/>
    <w:rsid w:val="00863915"/>
    <w:rsid w:val="0086462A"/>
    <w:rsid w:val="00865B80"/>
    <w:rsid w:val="008712D3"/>
    <w:rsid w:val="00872CD8"/>
    <w:rsid w:val="00874F39"/>
    <w:rsid w:val="0088733D"/>
    <w:rsid w:val="00887B86"/>
    <w:rsid w:val="00891A24"/>
    <w:rsid w:val="00892905"/>
    <w:rsid w:val="008929F8"/>
    <w:rsid w:val="0089656A"/>
    <w:rsid w:val="008A08EE"/>
    <w:rsid w:val="008A1A77"/>
    <w:rsid w:val="008A33AE"/>
    <w:rsid w:val="008A5F0E"/>
    <w:rsid w:val="008B0352"/>
    <w:rsid w:val="008B24C4"/>
    <w:rsid w:val="008B6305"/>
    <w:rsid w:val="008B6BAB"/>
    <w:rsid w:val="008B75D4"/>
    <w:rsid w:val="008C0D37"/>
    <w:rsid w:val="008C0FBB"/>
    <w:rsid w:val="008C117D"/>
    <w:rsid w:val="008C2F9A"/>
    <w:rsid w:val="008C7E20"/>
    <w:rsid w:val="008C7FD9"/>
    <w:rsid w:val="008D34DC"/>
    <w:rsid w:val="008D44F5"/>
    <w:rsid w:val="008D4960"/>
    <w:rsid w:val="008D67BB"/>
    <w:rsid w:val="008E00CD"/>
    <w:rsid w:val="008E319B"/>
    <w:rsid w:val="008E40EE"/>
    <w:rsid w:val="008E53DA"/>
    <w:rsid w:val="008F144C"/>
    <w:rsid w:val="008F6672"/>
    <w:rsid w:val="008F73AE"/>
    <w:rsid w:val="009010D5"/>
    <w:rsid w:val="009045D8"/>
    <w:rsid w:val="00904AA6"/>
    <w:rsid w:val="00911267"/>
    <w:rsid w:val="00915F7D"/>
    <w:rsid w:val="009171B5"/>
    <w:rsid w:val="009211A0"/>
    <w:rsid w:val="0092615B"/>
    <w:rsid w:val="00926CA1"/>
    <w:rsid w:val="00926E31"/>
    <w:rsid w:val="0092760C"/>
    <w:rsid w:val="00930EFD"/>
    <w:rsid w:val="009338A2"/>
    <w:rsid w:val="0093552C"/>
    <w:rsid w:val="00940B0E"/>
    <w:rsid w:val="009416B0"/>
    <w:rsid w:val="00945D47"/>
    <w:rsid w:val="00952D52"/>
    <w:rsid w:val="00953BDB"/>
    <w:rsid w:val="00954C07"/>
    <w:rsid w:val="00955F70"/>
    <w:rsid w:val="00957D2E"/>
    <w:rsid w:val="00961362"/>
    <w:rsid w:val="0096200F"/>
    <w:rsid w:val="009656F1"/>
    <w:rsid w:val="0096619B"/>
    <w:rsid w:val="00967350"/>
    <w:rsid w:val="00970131"/>
    <w:rsid w:val="00970D57"/>
    <w:rsid w:val="00973270"/>
    <w:rsid w:val="0098162B"/>
    <w:rsid w:val="00981865"/>
    <w:rsid w:val="009824F7"/>
    <w:rsid w:val="00994441"/>
    <w:rsid w:val="0099644C"/>
    <w:rsid w:val="009969DA"/>
    <w:rsid w:val="009978F7"/>
    <w:rsid w:val="009A2771"/>
    <w:rsid w:val="009A313A"/>
    <w:rsid w:val="009A40AD"/>
    <w:rsid w:val="009A6C4F"/>
    <w:rsid w:val="009A6EA3"/>
    <w:rsid w:val="009A7D98"/>
    <w:rsid w:val="009B06DF"/>
    <w:rsid w:val="009B4FB6"/>
    <w:rsid w:val="009B6AA9"/>
    <w:rsid w:val="009B72B7"/>
    <w:rsid w:val="009C262F"/>
    <w:rsid w:val="009C28DC"/>
    <w:rsid w:val="009C2BB5"/>
    <w:rsid w:val="009C5CBB"/>
    <w:rsid w:val="009E24B1"/>
    <w:rsid w:val="009E446F"/>
    <w:rsid w:val="009E48D9"/>
    <w:rsid w:val="009F1F97"/>
    <w:rsid w:val="009F3F70"/>
    <w:rsid w:val="009F4531"/>
    <w:rsid w:val="009F658D"/>
    <w:rsid w:val="00A000E6"/>
    <w:rsid w:val="00A033EB"/>
    <w:rsid w:val="00A03E26"/>
    <w:rsid w:val="00A055DA"/>
    <w:rsid w:val="00A062B2"/>
    <w:rsid w:val="00A076E1"/>
    <w:rsid w:val="00A10F98"/>
    <w:rsid w:val="00A1497B"/>
    <w:rsid w:val="00A14AEB"/>
    <w:rsid w:val="00A17670"/>
    <w:rsid w:val="00A22192"/>
    <w:rsid w:val="00A22441"/>
    <w:rsid w:val="00A23422"/>
    <w:rsid w:val="00A237A1"/>
    <w:rsid w:val="00A2600C"/>
    <w:rsid w:val="00A315FF"/>
    <w:rsid w:val="00A31AA5"/>
    <w:rsid w:val="00A34B9B"/>
    <w:rsid w:val="00A3558E"/>
    <w:rsid w:val="00A4420A"/>
    <w:rsid w:val="00A44861"/>
    <w:rsid w:val="00A44F98"/>
    <w:rsid w:val="00A46DC3"/>
    <w:rsid w:val="00A52C6C"/>
    <w:rsid w:val="00A56636"/>
    <w:rsid w:val="00A604E9"/>
    <w:rsid w:val="00A6060D"/>
    <w:rsid w:val="00A61778"/>
    <w:rsid w:val="00A662F9"/>
    <w:rsid w:val="00A730DA"/>
    <w:rsid w:val="00A73172"/>
    <w:rsid w:val="00A74AF7"/>
    <w:rsid w:val="00A7557E"/>
    <w:rsid w:val="00A804AF"/>
    <w:rsid w:val="00A84E97"/>
    <w:rsid w:val="00A90623"/>
    <w:rsid w:val="00A91FCE"/>
    <w:rsid w:val="00A92B64"/>
    <w:rsid w:val="00A93955"/>
    <w:rsid w:val="00A9566B"/>
    <w:rsid w:val="00A97DBF"/>
    <w:rsid w:val="00AA0360"/>
    <w:rsid w:val="00AA17D8"/>
    <w:rsid w:val="00AA213A"/>
    <w:rsid w:val="00AA25F5"/>
    <w:rsid w:val="00AA6D57"/>
    <w:rsid w:val="00AB05B1"/>
    <w:rsid w:val="00AB15FD"/>
    <w:rsid w:val="00AB4D72"/>
    <w:rsid w:val="00AB6BA3"/>
    <w:rsid w:val="00AB7550"/>
    <w:rsid w:val="00AD38EC"/>
    <w:rsid w:val="00AD4812"/>
    <w:rsid w:val="00AE02D3"/>
    <w:rsid w:val="00AE030E"/>
    <w:rsid w:val="00AE0867"/>
    <w:rsid w:val="00AE1254"/>
    <w:rsid w:val="00AE40BD"/>
    <w:rsid w:val="00AE40FF"/>
    <w:rsid w:val="00AE6728"/>
    <w:rsid w:val="00B02DBE"/>
    <w:rsid w:val="00B0373B"/>
    <w:rsid w:val="00B0452E"/>
    <w:rsid w:val="00B04901"/>
    <w:rsid w:val="00B04E0B"/>
    <w:rsid w:val="00B06223"/>
    <w:rsid w:val="00B136E1"/>
    <w:rsid w:val="00B160A3"/>
    <w:rsid w:val="00B22038"/>
    <w:rsid w:val="00B23E09"/>
    <w:rsid w:val="00B248FA"/>
    <w:rsid w:val="00B25B22"/>
    <w:rsid w:val="00B27CAA"/>
    <w:rsid w:val="00B32504"/>
    <w:rsid w:val="00B33AAA"/>
    <w:rsid w:val="00B376B2"/>
    <w:rsid w:val="00B406EF"/>
    <w:rsid w:val="00B42DBC"/>
    <w:rsid w:val="00B44EE5"/>
    <w:rsid w:val="00B45039"/>
    <w:rsid w:val="00B45095"/>
    <w:rsid w:val="00B5189A"/>
    <w:rsid w:val="00B53B1D"/>
    <w:rsid w:val="00B55ED2"/>
    <w:rsid w:val="00B56AF7"/>
    <w:rsid w:val="00B57B23"/>
    <w:rsid w:val="00B62819"/>
    <w:rsid w:val="00B66630"/>
    <w:rsid w:val="00B748EB"/>
    <w:rsid w:val="00B75A5F"/>
    <w:rsid w:val="00B80D7C"/>
    <w:rsid w:val="00B81350"/>
    <w:rsid w:val="00B83B47"/>
    <w:rsid w:val="00B9476D"/>
    <w:rsid w:val="00B96CE1"/>
    <w:rsid w:val="00BB0D9B"/>
    <w:rsid w:val="00BB1014"/>
    <w:rsid w:val="00BB37FE"/>
    <w:rsid w:val="00BB3EF1"/>
    <w:rsid w:val="00BC035C"/>
    <w:rsid w:val="00BC0DBB"/>
    <w:rsid w:val="00BC29D3"/>
    <w:rsid w:val="00BD11EB"/>
    <w:rsid w:val="00BD175A"/>
    <w:rsid w:val="00BD4FBF"/>
    <w:rsid w:val="00BD54B7"/>
    <w:rsid w:val="00BD5F8B"/>
    <w:rsid w:val="00BE2558"/>
    <w:rsid w:val="00BE3EEC"/>
    <w:rsid w:val="00BE70C8"/>
    <w:rsid w:val="00BF50B2"/>
    <w:rsid w:val="00C00B37"/>
    <w:rsid w:val="00C11455"/>
    <w:rsid w:val="00C138BD"/>
    <w:rsid w:val="00C14CA8"/>
    <w:rsid w:val="00C16D5F"/>
    <w:rsid w:val="00C17268"/>
    <w:rsid w:val="00C21D75"/>
    <w:rsid w:val="00C24507"/>
    <w:rsid w:val="00C24BC1"/>
    <w:rsid w:val="00C26418"/>
    <w:rsid w:val="00C267AF"/>
    <w:rsid w:val="00C3167B"/>
    <w:rsid w:val="00C31B91"/>
    <w:rsid w:val="00C33B9C"/>
    <w:rsid w:val="00C36A9D"/>
    <w:rsid w:val="00C40D31"/>
    <w:rsid w:val="00C43396"/>
    <w:rsid w:val="00C437FF"/>
    <w:rsid w:val="00C43EEE"/>
    <w:rsid w:val="00C46743"/>
    <w:rsid w:val="00C4691F"/>
    <w:rsid w:val="00C50423"/>
    <w:rsid w:val="00C50C14"/>
    <w:rsid w:val="00C57C48"/>
    <w:rsid w:val="00C66BAD"/>
    <w:rsid w:val="00C72811"/>
    <w:rsid w:val="00C73241"/>
    <w:rsid w:val="00C76E6A"/>
    <w:rsid w:val="00C802E3"/>
    <w:rsid w:val="00C81C64"/>
    <w:rsid w:val="00C84821"/>
    <w:rsid w:val="00C8520A"/>
    <w:rsid w:val="00C938B9"/>
    <w:rsid w:val="00C975EE"/>
    <w:rsid w:val="00C97ECC"/>
    <w:rsid w:val="00CA10DD"/>
    <w:rsid w:val="00CA1164"/>
    <w:rsid w:val="00CA3554"/>
    <w:rsid w:val="00CA3B09"/>
    <w:rsid w:val="00CA7064"/>
    <w:rsid w:val="00CA7580"/>
    <w:rsid w:val="00CB6D28"/>
    <w:rsid w:val="00CC219C"/>
    <w:rsid w:val="00CC746A"/>
    <w:rsid w:val="00CC758A"/>
    <w:rsid w:val="00CC789A"/>
    <w:rsid w:val="00CD3497"/>
    <w:rsid w:val="00CD703C"/>
    <w:rsid w:val="00CE00F5"/>
    <w:rsid w:val="00CE2269"/>
    <w:rsid w:val="00CE2784"/>
    <w:rsid w:val="00CE2A8D"/>
    <w:rsid w:val="00CE32F1"/>
    <w:rsid w:val="00CE4D2E"/>
    <w:rsid w:val="00CF0A76"/>
    <w:rsid w:val="00CF3008"/>
    <w:rsid w:val="00CF7461"/>
    <w:rsid w:val="00CF7D72"/>
    <w:rsid w:val="00D00481"/>
    <w:rsid w:val="00D0114D"/>
    <w:rsid w:val="00D02763"/>
    <w:rsid w:val="00D02E01"/>
    <w:rsid w:val="00D04737"/>
    <w:rsid w:val="00D10535"/>
    <w:rsid w:val="00D11E3D"/>
    <w:rsid w:val="00D1383D"/>
    <w:rsid w:val="00D14359"/>
    <w:rsid w:val="00D15070"/>
    <w:rsid w:val="00D1716E"/>
    <w:rsid w:val="00D1731D"/>
    <w:rsid w:val="00D20869"/>
    <w:rsid w:val="00D210CF"/>
    <w:rsid w:val="00D22919"/>
    <w:rsid w:val="00D27A74"/>
    <w:rsid w:val="00D30042"/>
    <w:rsid w:val="00D3127B"/>
    <w:rsid w:val="00D331ED"/>
    <w:rsid w:val="00D472B7"/>
    <w:rsid w:val="00D5322F"/>
    <w:rsid w:val="00D56484"/>
    <w:rsid w:val="00D63857"/>
    <w:rsid w:val="00D63A32"/>
    <w:rsid w:val="00D64A5C"/>
    <w:rsid w:val="00D65AC6"/>
    <w:rsid w:val="00D663E6"/>
    <w:rsid w:val="00D666CA"/>
    <w:rsid w:val="00D712C3"/>
    <w:rsid w:val="00D7186E"/>
    <w:rsid w:val="00D718EB"/>
    <w:rsid w:val="00D817B7"/>
    <w:rsid w:val="00D90EA2"/>
    <w:rsid w:val="00D9104A"/>
    <w:rsid w:val="00D949A8"/>
    <w:rsid w:val="00D97D2B"/>
    <w:rsid w:val="00DA281F"/>
    <w:rsid w:val="00DA4C54"/>
    <w:rsid w:val="00DB0B23"/>
    <w:rsid w:val="00DB1898"/>
    <w:rsid w:val="00DB2706"/>
    <w:rsid w:val="00DB45DC"/>
    <w:rsid w:val="00DB789F"/>
    <w:rsid w:val="00DC0A34"/>
    <w:rsid w:val="00DC0EBD"/>
    <w:rsid w:val="00DC404F"/>
    <w:rsid w:val="00DC4FF1"/>
    <w:rsid w:val="00DD52C3"/>
    <w:rsid w:val="00DD6CE4"/>
    <w:rsid w:val="00DD766B"/>
    <w:rsid w:val="00DF3C99"/>
    <w:rsid w:val="00DF6761"/>
    <w:rsid w:val="00E02FC2"/>
    <w:rsid w:val="00E0384E"/>
    <w:rsid w:val="00E0421B"/>
    <w:rsid w:val="00E05439"/>
    <w:rsid w:val="00E0709B"/>
    <w:rsid w:val="00E1266B"/>
    <w:rsid w:val="00E15A34"/>
    <w:rsid w:val="00E1600C"/>
    <w:rsid w:val="00E227A0"/>
    <w:rsid w:val="00E23BB1"/>
    <w:rsid w:val="00E27A20"/>
    <w:rsid w:val="00E35D76"/>
    <w:rsid w:val="00E40DFB"/>
    <w:rsid w:val="00E41188"/>
    <w:rsid w:val="00E418D2"/>
    <w:rsid w:val="00E41EE6"/>
    <w:rsid w:val="00E43F04"/>
    <w:rsid w:val="00E44675"/>
    <w:rsid w:val="00E47FE3"/>
    <w:rsid w:val="00E57AF3"/>
    <w:rsid w:val="00E57DBA"/>
    <w:rsid w:val="00E65C01"/>
    <w:rsid w:val="00E66A85"/>
    <w:rsid w:val="00E70431"/>
    <w:rsid w:val="00E734B2"/>
    <w:rsid w:val="00E74D8D"/>
    <w:rsid w:val="00E77F19"/>
    <w:rsid w:val="00E81143"/>
    <w:rsid w:val="00E83D6F"/>
    <w:rsid w:val="00E84007"/>
    <w:rsid w:val="00E84A5A"/>
    <w:rsid w:val="00E87776"/>
    <w:rsid w:val="00E91066"/>
    <w:rsid w:val="00E92370"/>
    <w:rsid w:val="00EA24BC"/>
    <w:rsid w:val="00EB0745"/>
    <w:rsid w:val="00EB1183"/>
    <w:rsid w:val="00EB3474"/>
    <w:rsid w:val="00EB484E"/>
    <w:rsid w:val="00EB53AE"/>
    <w:rsid w:val="00EB7394"/>
    <w:rsid w:val="00EC313C"/>
    <w:rsid w:val="00EC44BF"/>
    <w:rsid w:val="00ED0CB9"/>
    <w:rsid w:val="00ED118B"/>
    <w:rsid w:val="00ED5096"/>
    <w:rsid w:val="00ED7653"/>
    <w:rsid w:val="00EE0B79"/>
    <w:rsid w:val="00EF06A8"/>
    <w:rsid w:val="00EF35B2"/>
    <w:rsid w:val="00EF527F"/>
    <w:rsid w:val="00EF6AB9"/>
    <w:rsid w:val="00F01E54"/>
    <w:rsid w:val="00F026A6"/>
    <w:rsid w:val="00F075B1"/>
    <w:rsid w:val="00F10842"/>
    <w:rsid w:val="00F10DEE"/>
    <w:rsid w:val="00F1102B"/>
    <w:rsid w:val="00F13144"/>
    <w:rsid w:val="00F168AA"/>
    <w:rsid w:val="00F22A97"/>
    <w:rsid w:val="00F232D3"/>
    <w:rsid w:val="00F321A1"/>
    <w:rsid w:val="00F3358D"/>
    <w:rsid w:val="00F34114"/>
    <w:rsid w:val="00F401CA"/>
    <w:rsid w:val="00F410D0"/>
    <w:rsid w:val="00F41566"/>
    <w:rsid w:val="00F43917"/>
    <w:rsid w:val="00F44AA1"/>
    <w:rsid w:val="00F4546B"/>
    <w:rsid w:val="00F5137D"/>
    <w:rsid w:val="00F5138E"/>
    <w:rsid w:val="00F536B4"/>
    <w:rsid w:val="00F542B8"/>
    <w:rsid w:val="00F54DE3"/>
    <w:rsid w:val="00F615C6"/>
    <w:rsid w:val="00F61758"/>
    <w:rsid w:val="00F6227E"/>
    <w:rsid w:val="00F67333"/>
    <w:rsid w:val="00F728A0"/>
    <w:rsid w:val="00F74544"/>
    <w:rsid w:val="00F77ED6"/>
    <w:rsid w:val="00F81648"/>
    <w:rsid w:val="00F8262E"/>
    <w:rsid w:val="00F8348E"/>
    <w:rsid w:val="00F926EF"/>
    <w:rsid w:val="00F94B4D"/>
    <w:rsid w:val="00F955B8"/>
    <w:rsid w:val="00FA0EC1"/>
    <w:rsid w:val="00FA3B89"/>
    <w:rsid w:val="00FA534C"/>
    <w:rsid w:val="00FA5E75"/>
    <w:rsid w:val="00FA702E"/>
    <w:rsid w:val="00FA77BB"/>
    <w:rsid w:val="00FA7BCA"/>
    <w:rsid w:val="00FB54E2"/>
    <w:rsid w:val="00FB6A99"/>
    <w:rsid w:val="00FC1ED0"/>
    <w:rsid w:val="00FC37D9"/>
    <w:rsid w:val="00FC5D1F"/>
    <w:rsid w:val="00FC73F3"/>
    <w:rsid w:val="00FD1736"/>
    <w:rsid w:val="00FD4CC9"/>
    <w:rsid w:val="00FE2509"/>
    <w:rsid w:val="00FE25F1"/>
    <w:rsid w:val="00FE58D2"/>
    <w:rsid w:val="00FE6140"/>
    <w:rsid w:val="00FF61E1"/>
    <w:rsid w:val="00FF67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3837311-2E62-47EC-A1CF-203CEAE5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38"/>
    <w:pPr>
      <w:spacing w:before="120" w:after="12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autoRedefine/>
    <w:qFormat/>
    <w:rsid w:val="00650938"/>
    <w:pPr>
      <w:keepNext/>
      <w:keepLines/>
      <w:numPr>
        <w:numId w:val="1"/>
      </w:numPr>
      <w:spacing w:before="240" w:after="0"/>
      <w:outlineLvl w:val="0"/>
    </w:pPr>
    <w:rPr>
      <w:rFonts w:eastAsiaTheme="majorEastAsia"/>
      <w:b/>
      <w:sz w:val="36"/>
      <w:szCs w:val="36"/>
      <w:lang w:val="nn-NO"/>
    </w:rPr>
  </w:style>
  <w:style w:type="paragraph" w:styleId="Overskrift2">
    <w:name w:val="heading 2"/>
    <w:basedOn w:val="Normal"/>
    <w:next w:val="Normal"/>
    <w:link w:val="Overskrift2Tegn"/>
    <w:unhideWhenUsed/>
    <w:qFormat/>
    <w:rsid w:val="00650938"/>
    <w:pPr>
      <w:numPr>
        <w:ilvl w:val="1"/>
        <w:numId w:val="1"/>
      </w:numPr>
      <w:outlineLvl w:val="1"/>
    </w:pPr>
    <w:rPr>
      <w:b/>
      <w:sz w:val="28"/>
      <w:lang w:val="nn-NO"/>
    </w:rPr>
  </w:style>
  <w:style w:type="paragraph" w:styleId="Overskrift3">
    <w:name w:val="heading 3"/>
    <w:basedOn w:val="Overskrift2"/>
    <w:next w:val="Normal"/>
    <w:link w:val="Overskrift3Tegn"/>
    <w:unhideWhenUsed/>
    <w:qFormat/>
    <w:rsid w:val="00650938"/>
    <w:pPr>
      <w:numPr>
        <w:ilvl w:val="0"/>
        <w:numId w:val="0"/>
      </w:numPr>
      <w:outlineLvl w:val="2"/>
    </w:pPr>
    <w:rPr>
      <w:sz w:val="24"/>
    </w:rPr>
  </w:style>
  <w:style w:type="paragraph" w:styleId="Overskrift4">
    <w:name w:val="heading 4"/>
    <w:basedOn w:val="Normal"/>
    <w:next w:val="Normal"/>
    <w:link w:val="Overskrift4Tegn"/>
    <w:semiHidden/>
    <w:unhideWhenUsed/>
    <w:qFormat/>
    <w:rsid w:val="006509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6509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6509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6509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6509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6509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0938"/>
    <w:rPr>
      <w:rFonts w:ascii="Times New Roman" w:eastAsiaTheme="majorEastAsia" w:hAnsi="Times New Roman" w:cs="Times New Roman"/>
      <w:b/>
      <w:sz w:val="36"/>
      <w:szCs w:val="36"/>
      <w:lang w:val="nn-NO" w:eastAsia="nb-NO"/>
    </w:rPr>
  </w:style>
  <w:style w:type="character" w:customStyle="1" w:styleId="Overskrift2Tegn">
    <w:name w:val="Overskrift 2 Tegn"/>
    <w:basedOn w:val="Standardskriftforavsnitt"/>
    <w:link w:val="Overskrift2"/>
    <w:rsid w:val="00650938"/>
    <w:rPr>
      <w:rFonts w:ascii="Times New Roman" w:eastAsia="Times New Roman" w:hAnsi="Times New Roman" w:cs="Times New Roman"/>
      <w:b/>
      <w:sz w:val="28"/>
      <w:szCs w:val="24"/>
      <w:lang w:val="nn-NO" w:eastAsia="nb-NO"/>
    </w:rPr>
  </w:style>
  <w:style w:type="character" w:customStyle="1" w:styleId="Overskrift3Tegn">
    <w:name w:val="Overskrift 3 Tegn"/>
    <w:basedOn w:val="Standardskriftforavsnitt"/>
    <w:link w:val="Overskrift3"/>
    <w:rsid w:val="00650938"/>
    <w:rPr>
      <w:rFonts w:ascii="Times New Roman" w:eastAsia="Times New Roman" w:hAnsi="Times New Roman" w:cs="Times New Roman"/>
      <w:b/>
      <w:sz w:val="24"/>
      <w:szCs w:val="24"/>
      <w:lang w:val="nn-NO" w:eastAsia="nb-NO"/>
    </w:rPr>
  </w:style>
  <w:style w:type="character" w:customStyle="1" w:styleId="Overskrift4Tegn">
    <w:name w:val="Overskrift 4 Tegn"/>
    <w:basedOn w:val="Standardskriftforavsnitt"/>
    <w:link w:val="Overskrift4"/>
    <w:semiHidden/>
    <w:rsid w:val="00650938"/>
    <w:rPr>
      <w:rFonts w:asciiTheme="majorHAnsi" w:eastAsiaTheme="majorEastAsia" w:hAnsiTheme="majorHAnsi" w:cstheme="majorBidi"/>
      <w:i/>
      <w:iCs/>
      <w:color w:val="2E74B5" w:themeColor="accent1" w:themeShade="BF"/>
      <w:sz w:val="24"/>
      <w:szCs w:val="24"/>
      <w:lang w:eastAsia="nb-NO"/>
    </w:rPr>
  </w:style>
  <w:style w:type="character" w:customStyle="1" w:styleId="Overskrift5Tegn">
    <w:name w:val="Overskrift 5 Tegn"/>
    <w:basedOn w:val="Standardskriftforavsnitt"/>
    <w:link w:val="Overskrift5"/>
    <w:semiHidden/>
    <w:rsid w:val="00650938"/>
    <w:rPr>
      <w:rFonts w:asciiTheme="majorHAnsi" w:eastAsiaTheme="majorEastAsia" w:hAnsiTheme="majorHAnsi" w:cstheme="majorBidi"/>
      <w:color w:val="2E74B5" w:themeColor="accent1" w:themeShade="BF"/>
      <w:sz w:val="24"/>
      <w:szCs w:val="24"/>
      <w:lang w:eastAsia="nb-NO"/>
    </w:rPr>
  </w:style>
  <w:style w:type="character" w:customStyle="1" w:styleId="Overskrift6Tegn">
    <w:name w:val="Overskrift 6 Tegn"/>
    <w:basedOn w:val="Standardskriftforavsnitt"/>
    <w:link w:val="Overskrift6"/>
    <w:semiHidden/>
    <w:rsid w:val="00650938"/>
    <w:rPr>
      <w:rFonts w:asciiTheme="majorHAnsi" w:eastAsiaTheme="majorEastAsia" w:hAnsiTheme="majorHAnsi" w:cstheme="majorBidi"/>
      <w:color w:val="1F4D78" w:themeColor="accent1" w:themeShade="7F"/>
      <w:sz w:val="24"/>
      <w:szCs w:val="24"/>
      <w:lang w:eastAsia="nb-NO"/>
    </w:rPr>
  </w:style>
  <w:style w:type="character" w:customStyle="1" w:styleId="Overskrift7Tegn">
    <w:name w:val="Overskrift 7 Tegn"/>
    <w:basedOn w:val="Standardskriftforavsnitt"/>
    <w:link w:val="Overskrift7"/>
    <w:semiHidden/>
    <w:rsid w:val="00650938"/>
    <w:rPr>
      <w:rFonts w:asciiTheme="majorHAnsi" w:eastAsiaTheme="majorEastAsia" w:hAnsiTheme="majorHAnsi" w:cstheme="majorBidi"/>
      <w:i/>
      <w:iCs/>
      <w:color w:val="1F4D78" w:themeColor="accent1" w:themeShade="7F"/>
      <w:sz w:val="24"/>
      <w:szCs w:val="24"/>
      <w:lang w:eastAsia="nb-NO"/>
    </w:rPr>
  </w:style>
  <w:style w:type="character" w:customStyle="1" w:styleId="Overskrift8Tegn">
    <w:name w:val="Overskrift 8 Tegn"/>
    <w:basedOn w:val="Standardskriftforavsnitt"/>
    <w:link w:val="Overskrift8"/>
    <w:semiHidden/>
    <w:rsid w:val="00650938"/>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semiHidden/>
    <w:rsid w:val="00650938"/>
    <w:rPr>
      <w:rFonts w:asciiTheme="majorHAnsi" w:eastAsiaTheme="majorEastAsia" w:hAnsiTheme="majorHAnsi" w:cstheme="majorBidi"/>
      <w:i/>
      <w:iCs/>
      <w:color w:val="272727" w:themeColor="text1" w:themeTint="D8"/>
      <w:sz w:val="21"/>
      <w:szCs w:val="21"/>
      <w:lang w:eastAsia="nb-NO"/>
    </w:rPr>
  </w:style>
  <w:style w:type="character" w:styleId="Merknadsreferanse">
    <w:name w:val="annotation reference"/>
    <w:basedOn w:val="Standardskriftforavsnitt"/>
    <w:rsid w:val="00650938"/>
    <w:rPr>
      <w:sz w:val="16"/>
      <w:szCs w:val="16"/>
    </w:rPr>
  </w:style>
  <w:style w:type="paragraph" w:styleId="Merknadstekst">
    <w:name w:val="annotation text"/>
    <w:basedOn w:val="Normal"/>
    <w:link w:val="MerknadstekstTegn"/>
    <w:rsid w:val="00650938"/>
    <w:rPr>
      <w:sz w:val="20"/>
      <w:szCs w:val="20"/>
    </w:rPr>
  </w:style>
  <w:style w:type="character" w:customStyle="1" w:styleId="MerknadstekstTegn">
    <w:name w:val="Merknadstekst Tegn"/>
    <w:basedOn w:val="Standardskriftforavsnitt"/>
    <w:link w:val="Merknadstekst"/>
    <w:rsid w:val="0065093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650938"/>
    <w:rPr>
      <w:b/>
      <w:bCs/>
    </w:rPr>
  </w:style>
  <w:style w:type="character" w:customStyle="1" w:styleId="KommentaremneTegn">
    <w:name w:val="Kommentaremne Tegn"/>
    <w:basedOn w:val="MerknadstekstTegn"/>
    <w:link w:val="Kommentaremne"/>
    <w:rsid w:val="00650938"/>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rsid w:val="00650938"/>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rsid w:val="00650938"/>
    <w:rPr>
      <w:rFonts w:ascii="Segoe UI" w:eastAsia="Times New Roman" w:hAnsi="Segoe UI" w:cs="Segoe UI"/>
      <w:sz w:val="18"/>
      <w:szCs w:val="18"/>
      <w:lang w:eastAsia="nb-NO"/>
    </w:rPr>
  </w:style>
  <w:style w:type="table" w:styleId="Tabellrutenett">
    <w:name w:val="Table Grid"/>
    <w:basedOn w:val="Vanligtabell"/>
    <w:uiPriority w:val="59"/>
    <w:rsid w:val="0065093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650938"/>
    <w:pPr>
      <w:spacing w:before="0" w:after="0"/>
    </w:pPr>
    <w:rPr>
      <w:sz w:val="20"/>
      <w:szCs w:val="20"/>
    </w:rPr>
  </w:style>
  <w:style w:type="character" w:customStyle="1" w:styleId="FotnotetekstTegn">
    <w:name w:val="Fotnotetekst Tegn"/>
    <w:basedOn w:val="Standardskriftforavsnitt"/>
    <w:link w:val="Fotnotetekst"/>
    <w:rsid w:val="00650938"/>
    <w:rPr>
      <w:rFonts w:ascii="Times New Roman" w:eastAsia="Times New Roman" w:hAnsi="Times New Roman" w:cs="Times New Roman"/>
      <w:sz w:val="20"/>
      <w:szCs w:val="20"/>
      <w:lang w:eastAsia="nb-NO"/>
    </w:rPr>
  </w:style>
  <w:style w:type="character" w:styleId="Fotnotereferanse">
    <w:name w:val="footnote reference"/>
    <w:basedOn w:val="Standardskriftforavsnitt"/>
    <w:rsid w:val="00650938"/>
    <w:rPr>
      <w:vertAlign w:val="superscript"/>
    </w:rPr>
  </w:style>
  <w:style w:type="character" w:styleId="Hyperkobling">
    <w:name w:val="Hyperlink"/>
    <w:basedOn w:val="Standardskriftforavsnitt"/>
    <w:uiPriority w:val="99"/>
    <w:rsid w:val="00650938"/>
    <w:rPr>
      <w:color w:val="0563C1" w:themeColor="hyperlink"/>
      <w:u w:val="single"/>
    </w:rPr>
  </w:style>
  <w:style w:type="paragraph" w:styleId="Listeavsnitt">
    <w:name w:val="List Paragraph"/>
    <w:basedOn w:val="Normal"/>
    <w:uiPriority w:val="34"/>
    <w:qFormat/>
    <w:rsid w:val="00650938"/>
    <w:pPr>
      <w:spacing w:before="0" w:after="0"/>
      <w:ind w:left="720"/>
      <w:contextualSpacing/>
    </w:pPr>
  </w:style>
  <w:style w:type="paragraph" w:styleId="Topptekst">
    <w:name w:val="header"/>
    <w:basedOn w:val="Normal"/>
    <w:link w:val="TopptekstTegn"/>
    <w:unhideWhenUsed/>
    <w:rsid w:val="00650938"/>
    <w:pPr>
      <w:tabs>
        <w:tab w:val="center" w:pos="4536"/>
        <w:tab w:val="right" w:pos="9072"/>
      </w:tabs>
      <w:spacing w:before="0" w:after="0"/>
    </w:pPr>
  </w:style>
  <w:style w:type="character" w:customStyle="1" w:styleId="TopptekstTegn">
    <w:name w:val="Topptekst Tegn"/>
    <w:basedOn w:val="Standardskriftforavsnitt"/>
    <w:link w:val="Topptekst"/>
    <w:rsid w:val="0065093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650938"/>
    <w:pPr>
      <w:tabs>
        <w:tab w:val="center" w:pos="4536"/>
        <w:tab w:val="right" w:pos="9072"/>
      </w:tabs>
      <w:spacing w:before="0" w:after="0"/>
    </w:pPr>
  </w:style>
  <w:style w:type="character" w:customStyle="1" w:styleId="BunntekstTegn">
    <w:name w:val="Bunntekst Tegn"/>
    <w:basedOn w:val="Standardskriftforavsnitt"/>
    <w:link w:val="Bunntekst"/>
    <w:uiPriority w:val="99"/>
    <w:rsid w:val="00650938"/>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650938"/>
    <w:pPr>
      <w:spacing w:before="100" w:beforeAutospacing="1" w:after="100" w:afterAutospacing="1"/>
    </w:pPr>
    <w:rPr>
      <w:rFonts w:eastAsiaTheme="minorEastAsia"/>
    </w:rPr>
  </w:style>
  <w:style w:type="paragraph" w:customStyle="1" w:styleId="Default">
    <w:name w:val="Default"/>
    <w:rsid w:val="00650938"/>
    <w:pPr>
      <w:autoSpaceDE w:val="0"/>
      <w:autoSpaceDN w:val="0"/>
      <w:adjustRightInd w:val="0"/>
      <w:spacing w:after="0" w:line="240" w:lineRule="auto"/>
    </w:pPr>
    <w:rPr>
      <w:rFonts w:ascii="Georgia" w:eastAsia="Times New Roman" w:hAnsi="Georgia" w:cs="Georgia"/>
      <w:color w:val="000000"/>
      <w:sz w:val="24"/>
      <w:szCs w:val="24"/>
      <w:lang w:eastAsia="nb-NO"/>
    </w:rPr>
  </w:style>
  <w:style w:type="paragraph" w:styleId="Overskriftforinnholdsfortegnelse">
    <w:name w:val="TOC Heading"/>
    <w:basedOn w:val="Overskrift1"/>
    <w:next w:val="Normal"/>
    <w:uiPriority w:val="39"/>
    <w:unhideWhenUsed/>
    <w:qFormat/>
    <w:rsid w:val="00650938"/>
    <w:pPr>
      <w:numPr>
        <w:numId w:val="0"/>
      </w:numPr>
      <w:spacing w:line="259" w:lineRule="auto"/>
      <w:outlineLvl w:val="9"/>
    </w:pPr>
    <w:rPr>
      <w:rFonts w:asciiTheme="majorHAnsi" w:hAnsiTheme="majorHAnsi" w:cstheme="majorBidi"/>
      <w:b w:val="0"/>
      <w:color w:val="2E74B5" w:themeColor="accent1" w:themeShade="BF"/>
      <w:sz w:val="32"/>
      <w:szCs w:val="32"/>
      <w:lang w:val="nb-NO"/>
    </w:rPr>
  </w:style>
  <w:style w:type="paragraph" w:styleId="INNH1">
    <w:name w:val="toc 1"/>
    <w:basedOn w:val="Normal"/>
    <w:next w:val="Normal"/>
    <w:autoRedefine/>
    <w:uiPriority w:val="39"/>
    <w:rsid w:val="00650938"/>
    <w:pPr>
      <w:tabs>
        <w:tab w:val="right" w:leader="dot" w:pos="9062"/>
      </w:tabs>
      <w:spacing w:after="100"/>
    </w:pPr>
    <w:rPr>
      <w:b/>
      <w:noProof/>
    </w:rPr>
  </w:style>
  <w:style w:type="paragraph" w:styleId="INNH3">
    <w:name w:val="toc 3"/>
    <w:basedOn w:val="Normal"/>
    <w:next w:val="Normal"/>
    <w:autoRedefine/>
    <w:uiPriority w:val="39"/>
    <w:rsid w:val="00650938"/>
    <w:pPr>
      <w:tabs>
        <w:tab w:val="right" w:leader="dot" w:pos="9062"/>
      </w:tabs>
      <w:spacing w:after="100"/>
      <w:ind w:left="480"/>
    </w:pPr>
    <w:rPr>
      <w:rFonts w:eastAsiaTheme="majorEastAsia"/>
      <w:bCs/>
      <w:noProof/>
      <w:lang w:val="nn-NO"/>
    </w:rPr>
  </w:style>
  <w:style w:type="paragraph" w:styleId="INNH2">
    <w:name w:val="toc 2"/>
    <w:basedOn w:val="Normal"/>
    <w:next w:val="Normal"/>
    <w:autoRedefine/>
    <w:uiPriority w:val="39"/>
    <w:rsid w:val="00650938"/>
    <w:pPr>
      <w:spacing w:after="100"/>
      <w:ind w:left="240"/>
    </w:pPr>
  </w:style>
  <w:style w:type="paragraph" w:customStyle="1" w:styleId="paragraph">
    <w:name w:val="paragraph"/>
    <w:basedOn w:val="Normal"/>
    <w:rsid w:val="00650938"/>
    <w:pPr>
      <w:spacing w:before="0" w:after="0"/>
    </w:pPr>
  </w:style>
  <w:style w:type="character" w:customStyle="1" w:styleId="spellingerror">
    <w:name w:val="spellingerror"/>
    <w:basedOn w:val="Standardskriftforavsnitt"/>
    <w:rsid w:val="00650938"/>
  </w:style>
  <w:style w:type="character" w:customStyle="1" w:styleId="normaltextrun1">
    <w:name w:val="normaltextrun1"/>
    <w:basedOn w:val="Standardskriftforavsnitt"/>
    <w:rsid w:val="00650938"/>
  </w:style>
  <w:style w:type="character" w:customStyle="1" w:styleId="scxw253023998">
    <w:name w:val="scxw253023998"/>
    <w:basedOn w:val="Standardskriftforavsnitt"/>
    <w:rsid w:val="00650938"/>
  </w:style>
  <w:style w:type="character" w:customStyle="1" w:styleId="eop">
    <w:name w:val="eop"/>
    <w:basedOn w:val="Standardskriftforavsnitt"/>
    <w:rsid w:val="00650938"/>
  </w:style>
  <w:style w:type="paragraph" w:styleId="Rentekst">
    <w:name w:val="Plain Text"/>
    <w:basedOn w:val="Normal"/>
    <w:link w:val="RentekstTegn"/>
    <w:uiPriority w:val="99"/>
    <w:unhideWhenUsed/>
    <w:rsid w:val="00650938"/>
    <w:pPr>
      <w:spacing w:before="0" w:after="0"/>
    </w:pPr>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650938"/>
    <w:rPr>
      <w:rFonts w:ascii="Calibri" w:hAnsi="Calibri"/>
      <w:szCs w:val="21"/>
    </w:rPr>
  </w:style>
  <w:style w:type="paragraph" w:styleId="Sluttnotetekst">
    <w:name w:val="endnote text"/>
    <w:basedOn w:val="Normal"/>
    <w:link w:val="SluttnotetekstTegn"/>
    <w:uiPriority w:val="99"/>
    <w:semiHidden/>
    <w:unhideWhenUsed/>
    <w:rsid w:val="00650938"/>
    <w:pPr>
      <w:spacing w:before="0" w:after="0"/>
    </w:pPr>
    <w:rPr>
      <w:rFonts w:asciiTheme="minorHAnsi" w:eastAsiaTheme="minorHAnsi" w:hAnsiTheme="minorHAnsi" w:cstheme="minorBidi"/>
      <w:sz w:val="20"/>
      <w:szCs w:val="20"/>
      <w:lang w:eastAsia="en-US"/>
    </w:rPr>
  </w:style>
  <w:style w:type="character" w:customStyle="1" w:styleId="SluttnotetekstTegn">
    <w:name w:val="Sluttnotetekst Tegn"/>
    <w:basedOn w:val="Standardskriftforavsnitt"/>
    <w:link w:val="Sluttnotetekst"/>
    <w:uiPriority w:val="99"/>
    <w:semiHidden/>
    <w:rsid w:val="00650938"/>
    <w:rPr>
      <w:sz w:val="20"/>
      <w:szCs w:val="20"/>
    </w:rPr>
  </w:style>
  <w:style w:type="character" w:styleId="Sluttnotereferanse">
    <w:name w:val="endnote reference"/>
    <w:basedOn w:val="Standardskriftforavsnitt"/>
    <w:uiPriority w:val="99"/>
    <w:semiHidden/>
    <w:unhideWhenUsed/>
    <w:rsid w:val="00650938"/>
    <w:rPr>
      <w:vertAlign w:val="superscript"/>
    </w:rPr>
  </w:style>
  <w:style w:type="paragraph" w:styleId="Ingenmellomrom">
    <w:name w:val="No Spacing"/>
    <w:uiPriority w:val="1"/>
    <w:qFormat/>
    <w:rsid w:val="00650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604077484">
      <w:bodyDiv w:val="1"/>
      <w:marLeft w:val="0"/>
      <w:marRight w:val="0"/>
      <w:marTop w:val="0"/>
      <w:marBottom w:val="0"/>
      <w:divBdr>
        <w:top w:val="none" w:sz="0" w:space="0" w:color="auto"/>
        <w:left w:val="none" w:sz="0" w:space="0" w:color="auto"/>
        <w:bottom w:val="none" w:sz="0" w:space="0" w:color="auto"/>
        <w:right w:val="none" w:sz="0" w:space="0" w:color="auto"/>
      </w:divBdr>
    </w:div>
    <w:div w:id="780879270">
      <w:bodyDiv w:val="1"/>
      <w:marLeft w:val="0"/>
      <w:marRight w:val="0"/>
      <w:marTop w:val="0"/>
      <w:marBottom w:val="0"/>
      <w:divBdr>
        <w:top w:val="none" w:sz="0" w:space="0" w:color="auto"/>
        <w:left w:val="none" w:sz="0" w:space="0" w:color="auto"/>
        <w:bottom w:val="none" w:sz="0" w:space="0" w:color="auto"/>
        <w:right w:val="none" w:sz="0" w:space="0" w:color="auto"/>
      </w:divBdr>
    </w:div>
    <w:div w:id="1305162163">
      <w:bodyDiv w:val="1"/>
      <w:marLeft w:val="0"/>
      <w:marRight w:val="0"/>
      <w:marTop w:val="0"/>
      <w:marBottom w:val="0"/>
      <w:divBdr>
        <w:top w:val="none" w:sz="0" w:space="0" w:color="auto"/>
        <w:left w:val="none" w:sz="0" w:space="0" w:color="auto"/>
        <w:bottom w:val="none" w:sz="0" w:space="0" w:color="auto"/>
        <w:right w:val="none" w:sz="0" w:space="0" w:color="auto"/>
      </w:divBdr>
    </w:div>
    <w:div w:id="1526478762">
      <w:bodyDiv w:val="1"/>
      <w:marLeft w:val="0"/>
      <w:marRight w:val="0"/>
      <w:marTop w:val="0"/>
      <w:marBottom w:val="0"/>
      <w:divBdr>
        <w:top w:val="none" w:sz="0" w:space="0" w:color="auto"/>
        <w:left w:val="none" w:sz="0" w:space="0" w:color="auto"/>
        <w:bottom w:val="none" w:sz="0" w:space="0" w:color="auto"/>
        <w:right w:val="none" w:sz="0" w:space="0" w:color="auto"/>
      </w:divBdr>
    </w:div>
    <w:div w:id="1540508150">
      <w:bodyDiv w:val="1"/>
      <w:marLeft w:val="0"/>
      <w:marRight w:val="0"/>
      <w:marTop w:val="0"/>
      <w:marBottom w:val="0"/>
      <w:divBdr>
        <w:top w:val="none" w:sz="0" w:space="0" w:color="auto"/>
        <w:left w:val="none" w:sz="0" w:space="0" w:color="auto"/>
        <w:bottom w:val="none" w:sz="0" w:space="0" w:color="auto"/>
        <w:right w:val="none" w:sz="0" w:space="0" w:color="auto"/>
      </w:divBdr>
    </w:div>
    <w:div w:id="1835215893">
      <w:bodyDiv w:val="1"/>
      <w:marLeft w:val="0"/>
      <w:marRight w:val="0"/>
      <w:marTop w:val="0"/>
      <w:marBottom w:val="0"/>
      <w:divBdr>
        <w:top w:val="none" w:sz="0" w:space="0" w:color="auto"/>
        <w:left w:val="none" w:sz="0" w:space="0" w:color="auto"/>
        <w:bottom w:val="none" w:sz="0" w:space="0" w:color="auto"/>
        <w:right w:val="none" w:sz="0" w:space="0" w:color="auto"/>
      </w:divBdr>
    </w:div>
    <w:div w:id="21083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d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o.no/ombudet-og-samfunnet/rapporter/tva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do.no/ombudet-og-samfunnet/" TargetMode="External"/><Relationship Id="rId4" Type="http://schemas.openxmlformats.org/officeDocument/2006/relationships/settings" Target="settings.xml"/><Relationship Id="rId9" Type="http://schemas.openxmlformats.org/officeDocument/2006/relationships/hyperlink" Target="https://www.ldo.no/kampanje-for-seksuell-trakassering1/quiz---verktoy-for-a-snakke-om-seksuell-trakassering-pa-jobben/"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330C-71E0-4B13-8862-AFF7EF74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14507</Words>
  <Characters>76892</Characters>
  <Application>Microsoft Office Word</Application>
  <DocSecurity>0</DocSecurity>
  <Lines>640</Lines>
  <Paragraphs>182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Schwartz</dc:creator>
  <cp:keywords/>
  <dc:description/>
  <cp:lastModifiedBy>Mona Larsen-Asp</cp:lastModifiedBy>
  <cp:revision>2</cp:revision>
  <cp:lastPrinted>2020-03-12T13:57:00Z</cp:lastPrinted>
  <dcterms:created xsi:type="dcterms:W3CDTF">2020-03-12T15:00:00Z</dcterms:created>
  <dcterms:modified xsi:type="dcterms:W3CDTF">2020-03-12T15:00:00Z</dcterms:modified>
</cp:coreProperties>
</file>