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4A" w:rsidRPr="003923CF" w:rsidRDefault="0098414A" w:rsidP="0098414A">
      <w:pPr>
        <w:spacing w:before="0" w:after="0"/>
        <w:rPr>
          <w:b/>
          <w:sz w:val="36"/>
          <w:szCs w:val="36"/>
        </w:rPr>
      </w:pPr>
      <w:bookmarkStart w:id="0" w:name="_GoBack"/>
      <w:bookmarkEnd w:id="0"/>
    </w:p>
    <w:p w:rsidR="0098414A" w:rsidRDefault="0098414A" w:rsidP="0098414A">
      <w:pPr>
        <w:spacing w:before="0" w:after="0"/>
        <w:rPr>
          <w:b/>
          <w:sz w:val="36"/>
          <w:szCs w:val="36"/>
          <w:lang w:val="nn-NO"/>
        </w:rPr>
      </w:pPr>
      <w:r>
        <w:rPr>
          <w:b/>
          <w:sz w:val="36"/>
          <w:szCs w:val="36"/>
          <w:lang w:val="nn-NO"/>
        </w:rPr>
        <w:t>Årsmelding 2016</w:t>
      </w:r>
    </w:p>
    <w:p w:rsidR="0098414A" w:rsidRDefault="0098414A" w:rsidP="0098414A">
      <w:pPr>
        <w:spacing w:before="0" w:after="0"/>
        <w:rPr>
          <w:b/>
          <w:sz w:val="36"/>
          <w:szCs w:val="36"/>
          <w:lang w:val="nn-NO"/>
        </w:rPr>
      </w:pPr>
    </w:p>
    <w:p w:rsidR="0098414A" w:rsidRDefault="0098414A" w:rsidP="0098414A">
      <w:pPr>
        <w:spacing w:before="0" w:after="0"/>
        <w:rPr>
          <w:b/>
          <w:sz w:val="36"/>
          <w:szCs w:val="36"/>
          <w:lang w:val="nn-NO"/>
        </w:rPr>
      </w:pPr>
      <w:r>
        <w:rPr>
          <w:b/>
          <w:sz w:val="36"/>
          <w:szCs w:val="36"/>
          <w:lang w:val="nn-NO"/>
        </w:rPr>
        <w:t>Likestillings- og diskrimineringsombodet</w:t>
      </w:r>
      <w:r>
        <w:rPr>
          <w:b/>
          <w:sz w:val="36"/>
          <w:szCs w:val="36"/>
          <w:lang w:val="nn-NO"/>
        </w:rPr>
        <w:br w:type="page"/>
      </w:r>
    </w:p>
    <w:p w:rsidR="0098414A" w:rsidRDefault="0098414A" w:rsidP="0098414A">
      <w:pPr>
        <w:spacing w:before="0" w:after="0"/>
        <w:rPr>
          <w:b/>
          <w:sz w:val="36"/>
          <w:szCs w:val="36"/>
          <w:lang w:val="nn-NO"/>
        </w:rPr>
      </w:pPr>
      <w:r>
        <w:rPr>
          <w:b/>
          <w:sz w:val="36"/>
          <w:szCs w:val="36"/>
          <w:lang w:val="nn-NO"/>
        </w:rPr>
        <w:lastRenderedPageBreak/>
        <w:t>Innhaldsliste</w:t>
      </w:r>
    </w:p>
    <w:sdt>
      <w:sdtPr>
        <w:rPr>
          <w:rFonts w:ascii="Times New Roman" w:eastAsia="Times New Roman" w:hAnsi="Times New Roman" w:cs="Times New Roman"/>
          <w:color w:val="auto"/>
          <w:sz w:val="24"/>
          <w:szCs w:val="24"/>
        </w:rPr>
        <w:id w:val="2118947666"/>
        <w:docPartObj>
          <w:docPartGallery w:val="Table of Contents"/>
          <w:docPartUnique/>
        </w:docPartObj>
      </w:sdtPr>
      <w:sdtEndPr>
        <w:rPr>
          <w:b/>
          <w:bCs/>
        </w:rPr>
      </w:sdtEndPr>
      <w:sdtContent>
        <w:p w:rsidR="006C5C63" w:rsidRDefault="006C5C63">
          <w:pPr>
            <w:pStyle w:val="Overskriftforinnholdsfortegnelse"/>
          </w:pPr>
        </w:p>
        <w:p w:rsidR="00580986" w:rsidRDefault="006C5C63">
          <w:pPr>
            <w:pStyle w:val="INN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76060703" w:history="1">
            <w:r w:rsidR="00580986" w:rsidRPr="009E47A3">
              <w:rPr>
                <w:rStyle w:val="Hyperkobling"/>
              </w:rPr>
              <w:t>Kapittel 1 Føreord</w:t>
            </w:r>
            <w:r w:rsidR="00580986">
              <w:rPr>
                <w:webHidden/>
              </w:rPr>
              <w:tab/>
            </w:r>
            <w:r w:rsidR="00580986">
              <w:rPr>
                <w:webHidden/>
              </w:rPr>
              <w:fldChar w:fldCharType="begin"/>
            </w:r>
            <w:r w:rsidR="00580986">
              <w:rPr>
                <w:webHidden/>
              </w:rPr>
              <w:instrText xml:space="preserve"> PAGEREF _Toc476060703 \h </w:instrText>
            </w:r>
            <w:r w:rsidR="00580986">
              <w:rPr>
                <w:webHidden/>
              </w:rPr>
            </w:r>
            <w:r w:rsidR="00580986">
              <w:rPr>
                <w:webHidden/>
              </w:rPr>
              <w:fldChar w:fldCharType="separate"/>
            </w:r>
            <w:r w:rsidR="00BB66A2">
              <w:rPr>
                <w:webHidden/>
              </w:rPr>
              <w:t>1</w:t>
            </w:r>
            <w:r w:rsidR="00580986">
              <w:rPr>
                <w:webHidden/>
              </w:rPr>
              <w:fldChar w:fldCharType="end"/>
            </w:r>
          </w:hyperlink>
        </w:p>
        <w:p w:rsidR="00580986" w:rsidRDefault="00BE0620">
          <w:pPr>
            <w:pStyle w:val="INNH1"/>
            <w:rPr>
              <w:rFonts w:asciiTheme="minorHAnsi" w:eastAsiaTheme="minorEastAsia" w:hAnsiTheme="minorHAnsi" w:cstheme="minorBidi"/>
              <w:b w:val="0"/>
              <w:sz w:val="22"/>
              <w:szCs w:val="22"/>
            </w:rPr>
          </w:pPr>
          <w:hyperlink w:anchor="_Toc476060704" w:history="1">
            <w:r w:rsidR="00580986" w:rsidRPr="009E47A3">
              <w:rPr>
                <w:rStyle w:val="Hyperkobling"/>
              </w:rPr>
              <w:t>Kapittel 2 Introduksjon til verksemda</w:t>
            </w:r>
            <w:r w:rsidR="00580986">
              <w:rPr>
                <w:webHidden/>
              </w:rPr>
              <w:tab/>
            </w:r>
            <w:r w:rsidR="00580986">
              <w:rPr>
                <w:webHidden/>
              </w:rPr>
              <w:fldChar w:fldCharType="begin"/>
            </w:r>
            <w:r w:rsidR="00580986">
              <w:rPr>
                <w:webHidden/>
              </w:rPr>
              <w:instrText xml:space="preserve"> PAGEREF _Toc476060704 \h </w:instrText>
            </w:r>
            <w:r w:rsidR="00580986">
              <w:rPr>
                <w:webHidden/>
              </w:rPr>
            </w:r>
            <w:r w:rsidR="00580986">
              <w:rPr>
                <w:webHidden/>
              </w:rPr>
              <w:fldChar w:fldCharType="separate"/>
            </w:r>
            <w:r w:rsidR="00BB66A2">
              <w:rPr>
                <w:webHidden/>
              </w:rPr>
              <w:t>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05" w:history="1">
            <w:r w:rsidR="00580986" w:rsidRPr="009E47A3">
              <w:rPr>
                <w:rStyle w:val="Hyperkobling"/>
              </w:rPr>
              <w:t>Hovudtal i 2016</w:t>
            </w:r>
            <w:r w:rsidR="00580986">
              <w:rPr>
                <w:webHidden/>
              </w:rPr>
              <w:tab/>
            </w:r>
            <w:r w:rsidR="00580986">
              <w:rPr>
                <w:webHidden/>
              </w:rPr>
              <w:fldChar w:fldCharType="begin"/>
            </w:r>
            <w:r w:rsidR="00580986">
              <w:rPr>
                <w:webHidden/>
              </w:rPr>
              <w:instrText xml:space="preserve"> PAGEREF _Toc476060705 \h </w:instrText>
            </w:r>
            <w:r w:rsidR="00580986">
              <w:rPr>
                <w:webHidden/>
              </w:rPr>
            </w:r>
            <w:r w:rsidR="00580986">
              <w:rPr>
                <w:webHidden/>
              </w:rPr>
              <w:fldChar w:fldCharType="separate"/>
            </w:r>
            <w:r w:rsidR="00BB66A2">
              <w:rPr>
                <w:webHidden/>
              </w:rPr>
              <w:t>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06" w:history="1">
            <w:r w:rsidR="00580986" w:rsidRPr="009E47A3">
              <w:rPr>
                <w:rStyle w:val="Hyperkobling"/>
              </w:rPr>
              <w:t>Utvalde nøkkeltal frå årsregnskapet</w:t>
            </w:r>
            <w:r w:rsidR="00580986">
              <w:rPr>
                <w:webHidden/>
              </w:rPr>
              <w:tab/>
            </w:r>
            <w:r w:rsidR="00580986">
              <w:rPr>
                <w:webHidden/>
              </w:rPr>
              <w:fldChar w:fldCharType="begin"/>
            </w:r>
            <w:r w:rsidR="00580986">
              <w:rPr>
                <w:webHidden/>
              </w:rPr>
              <w:instrText xml:space="preserve"> PAGEREF _Toc476060706 \h </w:instrText>
            </w:r>
            <w:r w:rsidR="00580986">
              <w:rPr>
                <w:webHidden/>
              </w:rPr>
            </w:r>
            <w:r w:rsidR="00580986">
              <w:rPr>
                <w:webHidden/>
              </w:rPr>
              <w:fldChar w:fldCharType="separate"/>
            </w:r>
            <w:r w:rsidR="00BB66A2">
              <w:rPr>
                <w:webHidden/>
              </w:rPr>
              <w:t>4</w:t>
            </w:r>
            <w:r w:rsidR="00580986">
              <w:rPr>
                <w:webHidden/>
              </w:rPr>
              <w:fldChar w:fldCharType="end"/>
            </w:r>
          </w:hyperlink>
        </w:p>
        <w:p w:rsidR="00580986" w:rsidRDefault="00BE0620">
          <w:pPr>
            <w:pStyle w:val="INNH1"/>
            <w:rPr>
              <w:rFonts w:asciiTheme="minorHAnsi" w:eastAsiaTheme="minorEastAsia" w:hAnsiTheme="minorHAnsi" w:cstheme="minorBidi"/>
              <w:b w:val="0"/>
              <w:sz w:val="22"/>
              <w:szCs w:val="22"/>
            </w:rPr>
          </w:pPr>
          <w:hyperlink w:anchor="_Toc476060707" w:history="1">
            <w:r w:rsidR="00580986" w:rsidRPr="009E47A3">
              <w:rPr>
                <w:rStyle w:val="Hyperkobling"/>
              </w:rPr>
              <w:t>Kapittel 3 Aktivitetar og resultat</w:t>
            </w:r>
            <w:r w:rsidR="00580986">
              <w:rPr>
                <w:webHidden/>
              </w:rPr>
              <w:tab/>
            </w:r>
            <w:r w:rsidR="00580986">
              <w:rPr>
                <w:webHidden/>
              </w:rPr>
              <w:fldChar w:fldCharType="begin"/>
            </w:r>
            <w:r w:rsidR="00580986">
              <w:rPr>
                <w:webHidden/>
              </w:rPr>
              <w:instrText xml:space="preserve"> PAGEREF _Toc476060707 \h </w:instrText>
            </w:r>
            <w:r w:rsidR="00580986">
              <w:rPr>
                <w:webHidden/>
              </w:rPr>
            </w:r>
            <w:r w:rsidR="00580986">
              <w:rPr>
                <w:webHidden/>
              </w:rPr>
              <w:fldChar w:fldCharType="separate"/>
            </w:r>
            <w:r w:rsidR="00BB66A2">
              <w:rPr>
                <w:webHidden/>
              </w:rPr>
              <w:t>4</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08" w:history="1">
            <w:r w:rsidR="00580986" w:rsidRPr="009E47A3">
              <w:rPr>
                <w:rStyle w:val="Hyperkobling"/>
                <w:noProof/>
              </w:rPr>
              <w:t>3.1 Relevant og god hjelp til mange</w:t>
            </w:r>
            <w:r w:rsidR="00580986">
              <w:rPr>
                <w:noProof/>
                <w:webHidden/>
              </w:rPr>
              <w:tab/>
            </w:r>
            <w:r w:rsidR="00580986">
              <w:rPr>
                <w:noProof/>
                <w:webHidden/>
              </w:rPr>
              <w:fldChar w:fldCharType="begin"/>
            </w:r>
            <w:r w:rsidR="00580986">
              <w:rPr>
                <w:noProof/>
                <w:webHidden/>
              </w:rPr>
              <w:instrText xml:space="preserve"> PAGEREF _Toc476060708 \h </w:instrText>
            </w:r>
            <w:r w:rsidR="00580986">
              <w:rPr>
                <w:noProof/>
                <w:webHidden/>
              </w:rPr>
            </w:r>
            <w:r w:rsidR="00580986">
              <w:rPr>
                <w:noProof/>
                <w:webHidden/>
              </w:rPr>
              <w:fldChar w:fldCharType="separate"/>
            </w:r>
            <w:r w:rsidR="00BB66A2">
              <w:rPr>
                <w:noProof/>
                <w:webHidden/>
              </w:rPr>
              <w:t>4</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09" w:history="1">
            <w:r w:rsidR="00580986" w:rsidRPr="009E47A3">
              <w:rPr>
                <w:rStyle w:val="Hyperkobling"/>
              </w:rPr>
              <w:t>Rettleiing</w:t>
            </w:r>
            <w:r w:rsidR="00580986">
              <w:rPr>
                <w:webHidden/>
              </w:rPr>
              <w:tab/>
            </w:r>
            <w:r w:rsidR="00580986">
              <w:rPr>
                <w:webHidden/>
              </w:rPr>
              <w:fldChar w:fldCharType="begin"/>
            </w:r>
            <w:r w:rsidR="00580986">
              <w:rPr>
                <w:webHidden/>
              </w:rPr>
              <w:instrText xml:space="preserve"> PAGEREF _Toc476060709 \h </w:instrText>
            </w:r>
            <w:r w:rsidR="00580986">
              <w:rPr>
                <w:webHidden/>
              </w:rPr>
            </w:r>
            <w:r w:rsidR="00580986">
              <w:rPr>
                <w:webHidden/>
              </w:rPr>
              <w:fldChar w:fldCharType="separate"/>
            </w:r>
            <w:r w:rsidR="00BB66A2">
              <w:rPr>
                <w:webHidden/>
              </w:rPr>
              <w:t>4</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0" w:history="1">
            <w:r w:rsidR="00580986" w:rsidRPr="009E47A3">
              <w:rPr>
                <w:rStyle w:val="Hyperkobling"/>
                <w:lang w:val="nb-NO"/>
              </w:rPr>
              <w:t>Klagesaker</w:t>
            </w:r>
            <w:r w:rsidR="00580986">
              <w:rPr>
                <w:webHidden/>
              </w:rPr>
              <w:tab/>
            </w:r>
            <w:r w:rsidR="00580986">
              <w:rPr>
                <w:webHidden/>
              </w:rPr>
              <w:fldChar w:fldCharType="begin"/>
            </w:r>
            <w:r w:rsidR="00580986">
              <w:rPr>
                <w:webHidden/>
              </w:rPr>
              <w:instrText xml:space="preserve"> PAGEREF _Toc476060710 \h </w:instrText>
            </w:r>
            <w:r w:rsidR="00580986">
              <w:rPr>
                <w:webHidden/>
              </w:rPr>
            </w:r>
            <w:r w:rsidR="00580986">
              <w:rPr>
                <w:webHidden/>
              </w:rPr>
              <w:fldChar w:fldCharType="separate"/>
            </w:r>
            <w:r w:rsidR="00BB66A2">
              <w:rPr>
                <w:webHidden/>
              </w:rPr>
              <w:t>6</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1" w:history="1">
            <w:r w:rsidR="00580986" w:rsidRPr="009E47A3">
              <w:rPr>
                <w:rStyle w:val="Hyperkobling"/>
              </w:rPr>
              <w:t>Brukerundersøkelse</w:t>
            </w:r>
            <w:r w:rsidR="00580986">
              <w:rPr>
                <w:webHidden/>
              </w:rPr>
              <w:tab/>
            </w:r>
            <w:r w:rsidR="00580986">
              <w:rPr>
                <w:webHidden/>
              </w:rPr>
              <w:fldChar w:fldCharType="begin"/>
            </w:r>
            <w:r w:rsidR="00580986">
              <w:rPr>
                <w:webHidden/>
              </w:rPr>
              <w:instrText xml:space="preserve"> PAGEREF _Toc476060711 \h </w:instrText>
            </w:r>
            <w:r w:rsidR="00580986">
              <w:rPr>
                <w:webHidden/>
              </w:rPr>
            </w:r>
            <w:r w:rsidR="00580986">
              <w:rPr>
                <w:webHidden/>
              </w:rPr>
              <w:fldChar w:fldCharType="separate"/>
            </w:r>
            <w:r w:rsidR="00BB66A2">
              <w:rPr>
                <w:webHidden/>
              </w:rPr>
              <w:t>9</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2" w:history="1">
            <w:r w:rsidR="00580986" w:rsidRPr="009E47A3">
              <w:rPr>
                <w:rStyle w:val="Hyperkobling"/>
              </w:rPr>
              <w:t>Låg terskel for å kontakte ombodet</w:t>
            </w:r>
            <w:r w:rsidR="00580986">
              <w:rPr>
                <w:webHidden/>
              </w:rPr>
              <w:tab/>
            </w:r>
            <w:r w:rsidR="00580986">
              <w:rPr>
                <w:webHidden/>
              </w:rPr>
              <w:fldChar w:fldCharType="begin"/>
            </w:r>
            <w:r w:rsidR="00580986">
              <w:rPr>
                <w:webHidden/>
              </w:rPr>
              <w:instrText xml:space="preserve"> PAGEREF _Toc476060712 \h </w:instrText>
            </w:r>
            <w:r w:rsidR="00580986">
              <w:rPr>
                <w:webHidden/>
              </w:rPr>
            </w:r>
            <w:r w:rsidR="00580986">
              <w:rPr>
                <w:webHidden/>
              </w:rPr>
              <w:fldChar w:fldCharType="separate"/>
            </w:r>
            <w:r w:rsidR="00BB66A2">
              <w:rPr>
                <w:webHidden/>
              </w:rPr>
              <w:t>10</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3" w:history="1">
            <w:r w:rsidR="00580986" w:rsidRPr="009E47A3">
              <w:rPr>
                <w:rStyle w:val="Hyperkobling"/>
              </w:rPr>
              <w:t>Betre og raskare hjelp</w:t>
            </w:r>
            <w:r w:rsidR="00580986">
              <w:rPr>
                <w:webHidden/>
              </w:rPr>
              <w:tab/>
            </w:r>
            <w:r w:rsidR="00580986">
              <w:rPr>
                <w:webHidden/>
              </w:rPr>
              <w:fldChar w:fldCharType="begin"/>
            </w:r>
            <w:r w:rsidR="00580986">
              <w:rPr>
                <w:webHidden/>
              </w:rPr>
              <w:instrText xml:space="preserve"> PAGEREF _Toc476060713 \h </w:instrText>
            </w:r>
            <w:r w:rsidR="00580986">
              <w:rPr>
                <w:webHidden/>
              </w:rPr>
            </w:r>
            <w:r w:rsidR="00580986">
              <w:rPr>
                <w:webHidden/>
              </w:rPr>
              <w:fldChar w:fldCharType="separate"/>
            </w:r>
            <w:r w:rsidR="00BB66A2">
              <w:rPr>
                <w:webHidden/>
              </w:rPr>
              <w:t>11</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4" w:history="1">
            <w:r w:rsidR="00580986" w:rsidRPr="009E47A3">
              <w:rPr>
                <w:rStyle w:val="Hyperkobling"/>
                <w:lang w:val="nb-NO"/>
              </w:rPr>
              <w:t>Prinsipielt viktige saker</w:t>
            </w:r>
            <w:r w:rsidR="00580986">
              <w:rPr>
                <w:webHidden/>
              </w:rPr>
              <w:tab/>
            </w:r>
            <w:r w:rsidR="00580986">
              <w:rPr>
                <w:webHidden/>
              </w:rPr>
              <w:fldChar w:fldCharType="begin"/>
            </w:r>
            <w:r w:rsidR="00580986">
              <w:rPr>
                <w:webHidden/>
              </w:rPr>
              <w:instrText xml:space="preserve"> PAGEREF _Toc476060714 \h </w:instrText>
            </w:r>
            <w:r w:rsidR="00580986">
              <w:rPr>
                <w:webHidden/>
              </w:rPr>
            </w:r>
            <w:r w:rsidR="00580986">
              <w:rPr>
                <w:webHidden/>
              </w:rPr>
              <w:fldChar w:fldCharType="separate"/>
            </w:r>
            <w:r w:rsidR="00BB66A2">
              <w:rPr>
                <w:webHidden/>
              </w:rPr>
              <w:t>11</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5" w:history="1">
            <w:r w:rsidR="00580986" w:rsidRPr="009E47A3">
              <w:rPr>
                <w:rStyle w:val="Hyperkobling"/>
              </w:rPr>
              <w:t>Saker på eiget initiativ</w:t>
            </w:r>
            <w:r w:rsidR="00580986">
              <w:rPr>
                <w:webHidden/>
              </w:rPr>
              <w:tab/>
            </w:r>
            <w:r w:rsidR="00580986">
              <w:rPr>
                <w:webHidden/>
              </w:rPr>
              <w:fldChar w:fldCharType="begin"/>
            </w:r>
            <w:r w:rsidR="00580986">
              <w:rPr>
                <w:webHidden/>
              </w:rPr>
              <w:instrText xml:space="preserve"> PAGEREF _Toc476060715 \h </w:instrText>
            </w:r>
            <w:r w:rsidR="00580986">
              <w:rPr>
                <w:webHidden/>
              </w:rPr>
            </w:r>
            <w:r w:rsidR="00580986">
              <w:rPr>
                <w:webHidden/>
              </w:rPr>
              <w:fldChar w:fldCharType="separate"/>
            </w:r>
            <w:r w:rsidR="00BB66A2">
              <w:rPr>
                <w:webHidden/>
              </w:rPr>
              <w:t>12</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16" w:history="1">
            <w:r w:rsidR="00580986" w:rsidRPr="009E47A3">
              <w:rPr>
                <w:rStyle w:val="Hyperkobling"/>
                <w:noProof/>
              </w:rPr>
              <w:t>3.2 Førebygging</w:t>
            </w:r>
            <w:r w:rsidR="00580986">
              <w:rPr>
                <w:noProof/>
                <w:webHidden/>
              </w:rPr>
              <w:tab/>
            </w:r>
            <w:r w:rsidR="00580986">
              <w:rPr>
                <w:noProof/>
                <w:webHidden/>
              </w:rPr>
              <w:fldChar w:fldCharType="begin"/>
            </w:r>
            <w:r w:rsidR="00580986">
              <w:rPr>
                <w:noProof/>
                <w:webHidden/>
              </w:rPr>
              <w:instrText xml:space="preserve"> PAGEREF _Toc476060716 \h </w:instrText>
            </w:r>
            <w:r w:rsidR="00580986">
              <w:rPr>
                <w:noProof/>
                <w:webHidden/>
              </w:rPr>
            </w:r>
            <w:r w:rsidR="00580986">
              <w:rPr>
                <w:noProof/>
                <w:webHidden/>
              </w:rPr>
              <w:fldChar w:fldCharType="separate"/>
            </w:r>
            <w:r w:rsidR="00BB66A2">
              <w:rPr>
                <w:noProof/>
                <w:webHidden/>
              </w:rPr>
              <w:t>13</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7" w:history="1">
            <w:r w:rsidR="00580986" w:rsidRPr="009E47A3">
              <w:rPr>
                <w:rStyle w:val="Hyperkobling"/>
              </w:rPr>
              <w:t>Førebygging ved å rettleie om plikter</w:t>
            </w:r>
            <w:r w:rsidR="00580986">
              <w:rPr>
                <w:webHidden/>
              </w:rPr>
              <w:tab/>
            </w:r>
            <w:r w:rsidR="00580986">
              <w:rPr>
                <w:webHidden/>
              </w:rPr>
              <w:fldChar w:fldCharType="begin"/>
            </w:r>
            <w:r w:rsidR="00580986">
              <w:rPr>
                <w:webHidden/>
              </w:rPr>
              <w:instrText xml:space="preserve"> PAGEREF _Toc476060717 \h </w:instrText>
            </w:r>
            <w:r w:rsidR="00580986">
              <w:rPr>
                <w:webHidden/>
              </w:rPr>
            </w:r>
            <w:r w:rsidR="00580986">
              <w:rPr>
                <w:webHidden/>
              </w:rPr>
              <w:fldChar w:fldCharType="separate"/>
            </w:r>
            <w:r w:rsidR="00BB66A2">
              <w:rPr>
                <w:webHidden/>
              </w:rPr>
              <w:t>13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8" w:history="1">
            <w:r w:rsidR="00580986" w:rsidRPr="009E47A3">
              <w:rPr>
                <w:rStyle w:val="Hyperkobling"/>
              </w:rPr>
              <w:t>Engasjement for og debatt om likestilling</w:t>
            </w:r>
            <w:r w:rsidR="00580986">
              <w:rPr>
                <w:webHidden/>
              </w:rPr>
              <w:tab/>
            </w:r>
            <w:r w:rsidR="00580986">
              <w:rPr>
                <w:webHidden/>
              </w:rPr>
              <w:fldChar w:fldCharType="begin"/>
            </w:r>
            <w:r w:rsidR="00580986">
              <w:rPr>
                <w:webHidden/>
              </w:rPr>
              <w:instrText xml:space="preserve"> PAGEREF _Toc476060718 \h </w:instrText>
            </w:r>
            <w:r w:rsidR="00580986">
              <w:rPr>
                <w:webHidden/>
              </w:rPr>
            </w:r>
            <w:r w:rsidR="00580986">
              <w:rPr>
                <w:webHidden/>
              </w:rPr>
              <w:fldChar w:fldCharType="separate"/>
            </w:r>
            <w:r w:rsidR="00BB66A2">
              <w:rPr>
                <w:webHidden/>
              </w:rPr>
              <w:t>13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19" w:history="1">
            <w:r w:rsidR="00580986" w:rsidRPr="009E47A3">
              <w:rPr>
                <w:rStyle w:val="Hyperkobling"/>
              </w:rPr>
              <w:t>Foredrag</w:t>
            </w:r>
            <w:r w:rsidR="00580986">
              <w:rPr>
                <w:webHidden/>
              </w:rPr>
              <w:tab/>
            </w:r>
            <w:r w:rsidR="00580986">
              <w:rPr>
                <w:webHidden/>
              </w:rPr>
              <w:fldChar w:fldCharType="begin"/>
            </w:r>
            <w:r w:rsidR="00580986">
              <w:rPr>
                <w:webHidden/>
              </w:rPr>
              <w:instrText xml:space="preserve"> PAGEREF _Toc476060719 \h </w:instrText>
            </w:r>
            <w:r w:rsidR="00580986">
              <w:rPr>
                <w:webHidden/>
              </w:rPr>
            </w:r>
            <w:r w:rsidR="00580986">
              <w:rPr>
                <w:webHidden/>
              </w:rPr>
              <w:fldChar w:fldCharType="separate"/>
            </w:r>
            <w:r w:rsidR="00BB66A2">
              <w:rPr>
                <w:webHidden/>
              </w:rPr>
              <w:t>14</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0" w:history="1">
            <w:r w:rsidR="00580986" w:rsidRPr="009E47A3">
              <w:rPr>
                <w:rStyle w:val="Hyperkobling"/>
              </w:rPr>
              <w:t>Arrangement og debattmøte</w:t>
            </w:r>
            <w:r w:rsidR="00580986">
              <w:rPr>
                <w:webHidden/>
              </w:rPr>
              <w:tab/>
            </w:r>
            <w:r w:rsidR="00580986">
              <w:rPr>
                <w:webHidden/>
              </w:rPr>
              <w:fldChar w:fldCharType="begin"/>
            </w:r>
            <w:r w:rsidR="00580986">
              <w:rPr>
                <w:webHidden/>
              </w:rPr>
              <w:instrText xml:space="preserve"> PAGEREF _Toc476060720 \h </w:instrText>
            </w:r>
            <w:r w:rsidR="00580986">
              <w:rPr>
                <w:webHidden/>
              </w:rPr>
            </w:r>
            <w:r w:rsidR="00580986">
              <w:rPr>
                <w:webHidden/>
              </w:rPr>
              <w:fldChar w:fldCharType="separate"/>
            </w:r>
            <w:r w:rsidR="00BB66A2">
              <w:rPr>
                <w:webHidden/>
              </w:rPr>
              <w:t>15</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21" w:history="1">
            <w:r w:rsidR="00580986" w:rsidRPr="009E47A3">
              <w:rPr>
                <w:rStyle w:val="Hyperkobling"/>
                <w:noProof/>
              </w:rPr>
              <w:t>3.3 Endring gjennom samarbeid</w:t>
            </w:r>
            <w:r w:rsidR="00580986">
              <w:rPr>
                <w:noProof/>
                <w:webHidden/>
              </w:rPr>
              <w:tab/>
            </w:r>
            <w:r w:rsidR="00580986">
              <w:rPr>
                <w:noProof/>
                <w:webHidden/>
              </w:rPr>
              <w:fldChar w:fldCharType="begin"/>
            </w:r>
            <w:r w:rsidR="00580986">
              <w:rPr>
                <w:noProof/>
                <w:webHidden/>
              </w:rPr>
              <w:instrText xml:space="preserve"> PAGEREF _Toc476060721 \h </w:instrText>
            </w:r>
            <w:r w:rsidR="00580986">
              <w:rPr>
                <w:noProof/>
                <w:webHidden/>
              </w:rPr>
            </w:r>
            <w:r w:rsidR="00580986">
              <w:rPr>
                <w:noProof/>
                <w:webHidden/>
              </w:rPr>
              <w:fldChar w:fldCharType="separate"/>
            </w:r>
            <w:r w:rsidR="00BB66A2">
              <w:rPr>
                <w:noProof/>
                <w:webHidden/>
              </w:rPr>
              <w:t>15</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2" w:history="1">
            <w:r w:rsidR="00580986" w:rsidRPr="009E47A3">
              <w:rPr>
                <w:rStyle w:val="Hyperkobling"/>
              </w:rPr>
              <w:t>Samarbeid med sivilt samfunn</w:t>
            </w:r>
            <w:r w:rsidR="00580986">
              <w:rPr>
                <w:webHidden/>
              </w:rPr>
              <w:tab/>
            </w:r>
            <w:r w:rsidR="00580986">
              <w:rPr>
                <w:webHidden/>
              </w:rPr>
              <w:fldChar w:fldCharType="begin"/>
            </w:r>
            <w:r w:rsidR="00580986">
              <w:rPr>
                <w:webHidden/>
              </w:rPr>
              <w:instrText xml:space="preserve"> PAGEREF _Toc476060722 \h </w:instrText>
            </w:r>
            <w:r w:rsidR="00580986">
              <w:rPr>
                <w:webHidden/>
              </w:rPr>
            </w:r>
            <w:r w:rsidR="00580986">
              <w:rPr>
                <w:webHidden/>
              </w:rPr>
              <w:fldChar w:fldCharType="separate"/>
            </w:r>
            <w:r w:rsidR="00BB66A2">
              <w:rPr>
                <w:webHidden/>
              </w:rPr>
              <w:t>15</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3" w:history="1">
            <w:r w:rsidR="00580986" w:rsidRPr="009E47A3">
              <w:rPr>
                <w:rStyle w:val="Hyperkobling"/>
              </w:rPr>
              <w:t>Samarbeid med arbeidstakar- og arbeidsgjevarorganisasjonane</w:t>
            </w:r>
            <w:r w:rsidR="00580986">
              <w:rPr>
                <w:webHidden/>
              </w:rPr>
              <w:tab/>
            </w:r>
            <w:r w:rsidR="00580986">
              <w:rPr>
                <w:webHidden/>
              </w:rPr>
              <w:fldChar w:fldCharType="begin"/>
            </w:r>
            <w:r w:rsidR="00580986">
              <w:rPr>
                <w:webHidden/>
              </w:rPr>
              <w:instrText xml:space="preserve"> PAGEREF _Toc476060723 \h </w:instrText>
            </w:r>
            <w:r w:rsidR="00580986">
              <w:rPr>
                <w:webHidden/>
              </w:rPr>
            </w:r>
            <w:r w:rsidR="00580986">
              <w:rPr>
                <w:webHidden/>
              </w:rPr>
              <w:fldChar w:fldCharType="separate"/>
            </w:r>
            <w:r w:rsidR="00BB66A2">
              <w:rPr>
                <w:webHidden/>
              </w:rPr>
              <w:t>16</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4" w:history="1">
            <w:r w:rsidR="00580986" w:rsidRPr="009E47A3">
              <w:rPr>
                <w:rStyle w:val="Hyperkobling"/>
                <w:lang w:val="nb-NO"/>
              </w:rPr>
              <w:t>Samarbeidsprosjekt med Spania</w:t>
            </w:r>
            <w:r w:rsidR="00580986">
              <w:rPr>
                <w:webHidden/>
              </w:rPr>
              <w:tab/>
            </w:r>
            <w:r w:rsidR="00580986">
              <w:rPr>
                <w:webHidden/>
              </w:rPr>
              <w:fldChar w:fldCharType="begin"/>
            </w:r>
            <w:r w:rsidR="00580986">
              <w:rPr>
                <w:webHidden/>
              </w:rPr>
              <w:instrText xml:space="preserve"> PAGEREF _Toc476060724 \h </w:instrText>
            </w:r>
            <w:r w:rsidR="00580986">
              <w:rPr>
                <w:webHidden/>
              </w:rPr>
            </w:r>
            <w:r w:rsidR="00580986">
              <w:rPr>
                <w:webHidden/>
              </w:rPr>
              <w:fldChar w:fldCharType="separate"/>
            </w:r>
            <w:r w:rsidR="00BB66A2">
              <w:rPr>
                <w:webHidden/>
              </w:rPr>
              <w:t>17</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25" w:history="1">
            <w:r w:rsidR="00580986" w:rsidRPr="009E47A3">
              <w:rPr>
                <w:rStyle w:val="Hyperkobling"/>
                <w:noProof/>
              </w:rPr>
              <w:t>3.4 Tilsyn med FN-konvensjonar</w:t>
            </w:r>
            <w:r w:rsidR="00580986">
              <w:rPr>
                <w:noProof/>
                <w:webHidden/>
              </w:rPr>
              <w:tab/>
            </w:r>
            <w:r w:rsidR="00580986">
              <w:rPr>
                <w:noProof/>
                <w:webHidden/>
              </w:rPr>
              <w:fldChar w:fldCharType="begin"/>
            </w:r>
            <w:r w:rsidR="00580986">
              <w:rPr>
                <w:noProof/>
                <w:webHidden/>
              </w:rPr>
              <w:instrText xml:space="preserve"> PAGEREF _Toc476060725 \h </w:instrText>
            </w:r>
            <w:r w:rsidR="00580986">
              <w:rPr>
                <w:noProof/>
                <w:webHidden/>
              </w:rPr>
            </w:r>
            <w:r w:rsidR="00580986">
              <w:rPr>
                <w:noProof/>
                <w:webHidden/>
              </w:rPr>
              <w:fldChar w:fldCharType="separate"/>
            </w:r>
            <w:r w:rsidR="00BB66A2">
              <w:rPr>
                <w:noProof/>
                <w:webHidden/>
              </w:rPr>
              <w:t>17</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6" w:history="1">
            <w:r w:rsidR="00580986" w:rsidRPr="009E47A3">
              <w:rPr>
                <w:rStyle w:val="Hyperkobling"/>
              </w:rPr>
              <w:t>Nasjonal og internasjonal rapportering</w:t>
            </w:r>
            <w:r w:rsidR="00580986">
              <w:rPr>
                <w:webHidden/>
              </w:rPr>
              <w:tab/>
            </w:r>
            <w:r w:rsidR="00580986">
              <w:rPr>
                <w:webHidden/>
              </w:rPr>
              <w:fldChar w:fldCharType="begin"/>
            </w:r>
            <w:r w:rsidR="00580986">
              <w:rPr>
                <w:webHidden/>
              </w:rPr>
              <w:instrText xml:space="preserve"> PAGEREF _Toc476060726 \h </w:instrText>
            </w:r>
            <w:r w:rsidR="00580986">
              <w:rPr>
                <w:webHidden/>
              </w:rPr>
            </w:r>
            <w:r w:rsidR="00580986">
              <w:rPr>
                <w:webHidden/>
              </w:rPr>
              <w:fldChar w:fldCharType="separate"/>
            </w:r>
            <w:r w:rsidR="00BB66A2">
              <w:rPr>
                <w:webHidden/>
              </w:rPr>
              <w:t>18</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27" w:history="1">
            <w:r w:rsidR="00580986" w:rsidRPr="009E47A3">
              <w:rPr>
                <w:rStyle w:val="Hyperkobling"/>
              </w:rPr>
              <w:t>Høyringsfråsegn</w:t>
            </w:r>
            <w:r w:rsidR="00580986">
              <w:rPr>
                <w:webHidden/>
              </w:rPr>
              <w:tab/>
            </w:r>
            <w:r w:rsidR="00580986">
              <w:rPr>
                <w:webHidden/>
              </w:rPr>
              <w:fldChar w:fldCharType="begin"/>
            </w:r>
            <w:r w:rsidR="00580986">
              <w:rPr>
                <w:webHidden/>
              </w:rPr>
              <w:instrText xml:space="preserve"> PAGEREF _Toc476060727 \h </w:instrText>
            </w:r>
            <w:r w:rsidR="00580986">
              <w:rPr>
                <w:webHidden/>
              </w:rPr>
            </w:r>
            <w:r w:rsidR="00580986">
              <w:rPr>
                <w:webHidden/>
              </w:rPr>
              <w:fldChar w:fldCharType="separate"/>
            </w:r>
            <w:r w:rsidR="00BB66A2">
              <w:rPr>
                <w:webHidden/>
              </w:rPr>
              <w:t>19</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28" w:history="1">
            <w:r w:rsidR="00580986" w:rsidRPr="009E47A3">
              <w:rPr>
                <w:rStyle w:val="Hyperkobling"/>
                <w:noProof/>
              </w:rPr>
              <w:t>3.5 LDO som kunnskapsorganisasjon</w:t>
            </w:r>
            <w:r w:rsidR="00580986">
              <w:rPr>
                <w:noProof/>
                <w:webHidden/>
              </w:rPr>
              <w:tab/>
            </w:r>
            <w:r w:rsidR="00580986">
              <w:rPr>
                <w:noProof/>
                <w:webHidden/>
              </w:rPr>
              <w:fldChar w:fldCharType="begin"/>
            </w:r>
            <w:r w:rsidR="00580986">
              <w:rPr>
                <w:noProof/>
                <w:webHidden/>
              </w:rPr>
              <w:instrText xml:space="preserve"> PAGEREF _Toc476060728 \h </w:instrText>
            </w:r>
            <w:r w:rsidR="00580986">
              <w:rPr>
                <w:noProof/>
                <w:webHidden/>
              </w:rPr>
            </w:r>
            <w:r w:rsidR="00580986">
              <w:rPr>
                <w:noProof/>
                <w:webHidden/>
              </w:rPr>
              <w:fldChar w:fldCharType="separate"/>
            </w:r>
            <w:r w:rsidR="00BB66A2">
              <w:rPr>
                <w:noProof/>
                <w:webHidden/>
              </w:rPr>
              <w:t>20</w:t>
            </w:r>
            <w:r w:rsidR="00580986">
              <w:rPr>
                <w:noProof/>
                <w:webHidden/>
              </w:rPr>
              <w:fldChar w:fldCharType="end"/>
            </w:r>
          </w:hyperlink>
        </w:p>
        <w:p w:rsidR="00580986" w:rsidRDefault="00BE0620">
          <w:pPr>
            <w:pStyle w:val="INNH1"/>
            <w:rPr>
              <w:rFonts w:asciiTheme="minorHAnsi" w:eastAsiaTheme="minorEastAsia" w:hAnsiTheme="minorHAnsi" w:cstheme="minorBidi"/>
              <w:b w:val="0"/>
              <w:sz w:val="22"/>
              <w:szCs w:val="22"/>
            </w:rPr>
          </w:pPr>
          <w:hyperlink w:anchor="_Toc476060729" w:history="1">
            <w:r w:rsidR="00580986" w:rsidRPr="009E47A3">
              <w:rPr>
                <w:rStyle w:val="Hyperkobling"/>
              </w:rPr>
              <w:t>Kapittel 4 Styring og kontroll i verksemda</w:t>
            </w:r>
            <w:r w:rsidR="00580986">
              <w:rPr>
                <w:webHidden/>
              </w:rPr>
              <w:tab/>
            </w:r>
            <w:r w:rsidR="00580986">
              <w:rPr>
                <w:webHidden/>
              </w:rPr>
              <w:fldChar w:fldCharType="begin"/>
            </w:r>
            <w:r w:rsidR="00580986">
              <w:rPr>
                <w:webHidden/>
              </w:rPr>
              <w:instrText xml:space="preserve"> PAGEREF _Toc476060729 \h </w:instrText>
            </w:r>
            <w:r w:rsidR="00580986">
              <w:rPr>
                <w:webHidden/>
              </w:rPr>
            </w:r>
            <w:r w:rsidR="00580986">
              <w:rPr>
                <w:webHidden/>
              </w:rPr>
              <w:fldChar w:fldCharType="separate"/>
            </w:r>
            <w:r w:rsidR="00BB66A2">
              <w:rPr>
                <w:webHidden/>
              </w:rPr>
              <w:t>21</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30" w:history="1">
            <w:r w:rsidR="00580986" w:rsidRPr="009E47A3">
              <w:rPr>
                <w:rStyle w:val="Hyperkobling"/>
                <w:rFonts w:eastAsiaTheme="majorEastAsia"/>
                <w:noProof/>
              </w:rPr>
              <w:t>4.1 Styring og kontroll</w:t>
            </w:r>
            <w:r w:rsidR="00580986">
              <w:rPr>
                <w:noProof/>
                <w:webHidden/>
              </w:rPr>
              <w:tab/>
            </w:r>
            <w:r w:rsidR="00580986">
              <w:rPr>
                <w:noProof/>
                <w:webHidden/>
              </w:rPr>
              <w:fldChar w:fldCharType="begin"/>
            </w:r>
            <w:r w:rsidR="00580986">
              <w:rPr>
                <w:noProof/>
                <w:webHidden/>
              </w:rPr>
              <w:instrText xml:space="preserve"> PAGEREF _Toc476060730 \h </w:instrText>
            </w:r>
            <w:r w:rsidR="00580986">
              <w:rPr>
                <w:noProof/>
                <w:webHidden/>
              </w:rPr>
            </w:r>
            <w:r w:rsidR="00580986">
              <w:rPr>
                <w:noProof/>
                <w:webHidden/>
              </w:rPr>
              <w:fldChar w:fldCharType="separate"/>
            </w:r>
            <w:r w:rsidR="00BB66A2">
              <w:rPr>
                <w:noProof/>
                <w:webHidden/>
              </w:rPr>
              <w:t>21</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1" w:history="1">
            <w:r w:rsidR="00580986" w:rsidRPr="009E47A3">
              <w:rPr>
                <w:rStyle w:val="Hyperkobling"/>
              </w:rPr>
              <w:t>Sikker IKT-drift</w:t>
            </w:r>
            <w:r w:rsidR="00580986">
              <w:rPr>
                <w:webHidden/>
              </w:rPr>
              <w:tab/>
            </w:r>
            <w:r w:rsidR="00580986">
              <w:rPr>
                <w:webHidden/>
              </w:rPr>
              <w:fldChar w:fldCharType="begin"/>
            </w:r>
            <w:r w:rsidR="00580986">
              <w:rPr>
                <w:webHidden/>
              </w:rPr>
              <w:instrText xml:space="preserve"> PAGEREF _Toc476060731 \h </w:instrText>
            </w:r>
            <w:r w:rsidR="00580986">
              <w:rPr>
                <w:webHidden/>
              </w:rPr>
            </w:r>
            <w:r w:rsidR="00580986">
              <w:rPr>
                <w:webHidden/>
              </w:rPr>
              <w:fldChar w:fldCharType="separate"/>
            </w:r>
            <w:r w:rsidR="00BB66A2">
              <w:rPr>
                <w:webHidden/>
              </w:rPr>
              <w:t>21</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2" w:history="1">
            <w:r w:rsidR="00580986" w:rsidRPr="009E47A3">
              <w:rPr>
                <w:rStyle w:val="Hyperkobling"/>
              </w:rPr>
              <w:t>Tryggleik for våre ansatte</w:t>
            </w:r>
            <w:r w:rsidR="00580986">
              <w:rPr>
                <w:webHidden/>
              </w:rPr>
              <w:tab/>
            </w:r>
            <w:r w:rsidR="00580986">
              <w:rPr>
                <w:webHidden/>
              </w:rPr>
              <w:fldChar w:fldCharType="begin"/>
            </w:r>
            <w:r w:rsidR="00580986">
              <w:rPr>
                <w:webHidden/>
              </w:rPr>
              <w:instrText xml:space="preserve"> PAGEREF _Toc476060732 \h </w:instrText>
            </w:r>
            <w:r w:rsidR="00580986">
              <w:rPr>
                <w:webHidden/>
              </w:rPr>
            </w:r>
            <w:r w:rsidR="00580986">
              <w:rPr>
                <w:webHidden/>
              </w:rPr>
              <w:fldChar w:fldCharType="separate"/>
            </w:r>
            <w:r w:rsidR="00BB66A2">
              <w:rPr>
                <w:webHidden/>
              </w:rPr>
              <w:t>22</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3" w:history="1">
            <w:r w:rsidR="00580986" w:rsidRPr="009E47A3">
              <w:rPr>
                <w:rStyle w:val="Hyperkobling"/>
              </w:rPr>
              <w:t>Kriseberedskap</w:t>
            </w:r>
            <w:r w:rsidR="00580986">
              <w:rPr>
                <w:webHidden/>
              </w:rPr>
              <w:tab/>
            </w:r>
            <w:r w:rsidR="00580986">
              <w:rPr>
                <w:webHidden/>
              </w:rPr>
              <w:fldChar w:fldCharType="begin"/>
            </w:r>
            <w:r w:rsidR="00580986">
              <w:rPr>
                <w:webHidden/>
              </w:rPr>
              <w:instrText xml:space="preserve"> PAGEREF _Toc476060733 \h </w:instrText>
            </w:r>
            <w:r w:rsidR="00580986">
              <w:rPr>
                <w:webHidden/>
              </w:rPr>
            </w:r>
            <w:r w:rsidR="00580986">
              <w:rPr>
                <w:webHidden/>
              </w:rPr>
              <w:fldChar w:fldCharType="separate"/>
            </w:r>
            <w:r w:rsidR="00BB66A2">
              <w:rPr>
                <w:webHidden/>
              </w:rPr>
              <w:t>22</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4" w:history="1">
            <w:r w:rsidR="00580986" w:rsidRPr="00580986">
              <w:rPr>
                <w:rStyle w:val="Hyperkobling"/>
              </w:rPr>
              <w:t>Varlingsrutinar</w:t>
            </w:r>
            <w:r w:rsidR="00580986">
              <w:rPr>
                <w:webHidden/>
              </w:rPr>
              <w:tab/>
            </w:r>
            <w:r w:rsidR="00580986">
              <w:rPr>
                <w:webHidden/>
              </w:rPr>
              <w:fldChar w:fldCharType="begin"/>
            </w:r>
            <w:r w:rsidR="00580986">
              <w:rPr>
                <w:webHidden/>
              </w:rPr>
              <w:instrText xml:space="preserve"> PAGEREF _Toc476060734 \h </w:instrText>
            </w:r>
            <w:r w:rsidR="00580986">
              <w:rPr>
                <w:webHidden/>
              </w:rPr>
            </w:r>
            <w:r w:rsidR="00580986">
              <w:rPr>
                <w:webHidden/>
              </w:rPr>
              <w:fldChar w:fldCharType="separate"/>
            </w:r>
            <w:r w:rsidR="00BB66A2">
              <w:rPr>
                <w:webHidden/>
              </w:rPr>
              <w:t>22</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5" w:history="1">
            <w:r w:rsidR="00580986" w:rsidRPr="009E47A3">
              <w:rPr>
                <w:rStyle w:val="Hyperkobling"/>
              </w:rPr>
              <w:t>Universell utforming i eigne lokaler</w:t>
            </w:r>
            <w:r w:rsidR="00580986">
              <w:rPr>
                <w:webHidden/>
              </w:rPr>
              <w:tab/>
            </w:r>
            <w:r w:rsidR="00580986">
              <w:rPr>
                <w:webHidden/>
              </w:rPr>
              <w:fldChar w:fldCharType="begin"/>
            </w:r>
            <w:r w:rsidR="00580986">
              <w:rPr>
                <w:webHidden/>
              </w:rPr>
              <w:instrText xml:space="preserve"> PAGEREF _Toc476060735 \h </w:instrText>
            </w:r>
            <w:r w:rsidR="00580986">
              <w:rPr>
                <w:webHidden/>
              </w:rPr>
            </w:r>
            <w:r w:rsidR="00580986">
              <w:rPr>
                <w:webHidden/>
              </w:rPr>
              <w:fldChar w:fldCharType="separate"/>
            </w:r>
            <w:r w:rsidR="00BB66A2">
              <w:rPr>
                <w:webHidden/>
              </w:rPr>
              <w:t>22</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6" w:history="1">
            <w:r w:rsidR="00580986" w:rsidRPr="009E47A3">
              <w:rPr>
                <w:rStyle w:val="Hyperkobling"/>
              </w:rPr>
              <w:t>IKT-arkitektur</w:t>
            </w:r>
            <w:r w:rsidR="00580986">
              <w:rPr>
                <w:webHidden/>
              </w:rPr>
              <w:tab/>
            </w:r>
            <w:r w:rsidR="00580986">
              <w:rPr>
                <w:webHidden/>
              </w:rPr>
              <w:fldChar w:fldCharType="begin"/>
            </w:r>
            <w:r w:rsidR="00580986">
              <w:rPr>
                <w:webHidden/>
              </w:rPr>
              <w:instrText xml:space="preserve"> PAGEREF _Toc476060736 \h </w:instrText>
            </w:r>
            <w:r w:rsidR="00580986">
              <w:rPr>
                <w:webHidden/>
              </w:rPr>
            </w:r>
            <w:r w:rsidR="00580986">
              <w:rPr>
                <w:webHidden/>
              </w:rPr>
              <w:fldChar w:fldCharType="separate"/>
            </w:r>
            <w:r w:rsidR="00BB66A2">
              <w:rPr>
                <w:webHidden/>
              </w:rPr>
              <w:t>23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7" w:history="1">
            <w:r w:rsidR="00580986" w:rsidRPr="009E47A3">
              <w:rPr>
                <w:rStyle w:val="Hyperkobling"/>
              </w:rPr>
              <w:t>Sosiale krav i samanheng med innkjøp i 2016</w:t>
            </w:r>
            <w:r w:rsidR="00580986">
              <w:rPr>
                <w:webHidden/>
              </w:rPr>
              <w:tab/>
            </w:r>
            <w:r w:rsidR="00580986">
              <w:rPr>
                <w:webHidden/>
              </w:rPr>
              <w:fldChar w:fldCharType="begin"/>
            </w:r>
            <w:r w:rsidR="00580986">
              <w:rPr>
                <w:webHidden/>
              </w:rPr>
              <w:instrText xml:space="preserve"> PAGEREF _Toc476060737 \h </w:instrText>
            </w:r>
            <w:r w:rsidR="00580986">
              <w:rPr>
                <w:webHidden/>
              </w:rPr>
            </w:r>
            <w:r w:rsidR="00580986">
              <w:rPr>
                <w:webHidden/>
              </w:rPr>
              <w:fldChar w:fldCharType="separate"/>
            </w:r>
            <w:r w:rsidR="00BB66A2">
              <w:rPr>
                <w:webHidden/>
              </w:rPr>
              <w:t>23</w:t>
            </w:r>
            <w:r w:rsidR="00580986">
              <w:rPr>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38" w:history="1">
            <w:r w:rsidR="00580986" w:rsidRPr="009E47A3">
              <w:rPr>
                <w:rStyle w:val="Hyperkobling"/>
              </w:rPr>
              <w:t>Kompetanseheving i LDO</w:t>
            </w:r>
            <w:r w:rsidR="00580986">
              <w:rPr>
                <w:webHidden/>
              </w:rPr>
              <w:tab/>
            </w:r>
            <w:r w:rsidR="00580986">
              <w:rPr>
                <w:webHidden/>
              </w:rPr>
              <w:fldChar w:fldCharType="begin"/>
            </w:r>
            <w:r w:rsidR="00580986">
              <w:rPr>
                <w:webHidden/>
              </w:rPr>
              <w:instrText xml:space="preserve"> PAGEREF _Toc476060738 \h </w:instrText>
            </w:r>
            <w:r w:rsidR="00580986">
              <w:rPr>
                <w:webHidden/>
              </w:rPr>
            </w:r>
            <w:r w:rsidR="00580986">
              <w:rPr>
                <w:webHidden/>
              </w:rPr>
              <w:fldChar w:fldCharType="separate"/>
            </w:r>
            <w:r w:rsidR="00BB66A2">
              <w:rPr>
                <w:webHidden/>
              </w:rPr>
              <w:t>24</w:t>
            </w:r>
            <w:r w:rsidR="00580986">
              <w:rPr>
                <w:webHidden/>
              </w:rPr>
              <w:fldChar w:fldCharType="end"/>
            </w:r>
          </w:hyperlink>
        </w:p>
        <w:p w:rsidR="00580986" w:rsidRDefault="00BE0620">
          <w:pPr>
            <w:pStyle w:val="INNH2"/>
            <w:tabs>
              <w:tab w:val="right" w:leader="dot" w:pos="9062"/>
            </w:tabs>
            <w:rPr>
              <w:rFonts w:asciiTheme="minorHAnsi" w:eastAsiaTheme="minorEastAsia" w:hAnsiTheme="minorHAnsi" w:cstheme="minorBidi"/>
              <w:noProof/>
              <w:sz w:val="22"/>
              <w:szCs w:val="22"/>
            </w:rPr>
          </w:pPr>
          <w:hyperlink w:anchor="_Toc476060739" w:history="1">
            <w:r w:rsidR="00580986" w:rsidRPr="009E47A3">
              <w:rPr>
                <w:rStyle w:val="Hyperkobling"/>
                <w:rFonts w:eastAsiaTheme="majorEastAsia"/>
                <w:noProof/>
              </w:rPr>
              <w:t>4.2 Aktivitetsplikta som arbeidsgjevar</w:t>
            </w:r>
            <w:r w:rsidR="00580986">
              <w:rPr>
                <w:noProof/>
                <w:webHidden/>
              </w:rPr>
              <w:tab/>
            </w:r>
            <w:r w:rsidR="00580986">
              <w:rPr>
                <w:noProof/>
                <w:webHidden/>
              </w:rPr>
              <w:fldChar w:fldCharType="begin"/>
            </w:r>
            <w:r w:rsidR="00580986">
              <w:rPr>
                <w:noProof/>
                <w:webHidden/>
              </w:rPr>
              <w:instrText xml:space="preserve"> PAGEREF _Toc476060739 \h </w:instrText>
            </w:r>
            <w:r w:rsidR="00580986">
              <w:rPr>
                <w:noProof/>
                <w:webHidden/>
              </w:rPr>
            </w:r>
            <w:r w:rsidR="00580986">
              <w:rPr>
                <w:noProof/>
                <w:webHidden/>
              </w:rPr>
              <w:fldChar w:fldCharType="separate"/>
            </w:r>
            <w:r w:rsidR="00BB66A2">
              <w:rPr>
                <w:noProof/>
                <w:webHidden/>
              </w:rPr>
              <w:t>24</w:t>
            </w:r>
            <w:r w:rsidR="00580986">
              <w:rPr>
                <w:noProof/>
                <w:webHidden/>
              </w:rPr>
              <w:fldChar w:fldCharType="end"/>
            </w:r>
          </w:hyperlink>
        </w:p>
        <w:p w:rsidR="00580986" w:rsidRDefault="00BE0620">
          <w:pPr>
            <w:pStyle w:val="INNH3"/>
            <w:rPr>
              <w:rFonts w:asciiTheme="minorHAnsi" w:eastAsiaTheme="minorEastAsia" w:hAnsiTheme="minorHAnsi" w:cstheme="minorBidi"/>
              <w:bCs w:val="0"/>
              <w:sz w:val="22"/>
              <w:szCs w:val="22"/>
              <w:lang w:val="nb-NO"/>
            </w:rPr>
          </w:pPr>
          <w:hyperlink w:anchor="_Toc476060740" w:history="1">
            <w:r w:rsidR="00580986" w:rsidRPr="009E47A3">
              <w:rPr>
                <w:rStyle w:val="Hyperkobling"/>
              </w:rPr>
              <w:t>Inkluderande arbeidsliv</w:t>
            </w:r>
            <w:r w:rsidR="00580986">
              <w:rPr>
                <w:webHidden/>
              </w:rPr>
              <w:tab/>
            </w:r>
            <w:r w:rsidR="00580986">
              <w:rPr>
                <w:webHidden/>
              </w:rPr>
              <w:fldChar w:fldCharType="begin"/>
            </w:r>
            <w:r w:rsidR="00580986">
              <w:rPr>
                <w:webHidden/>
              </w:rPr>
              <w:instrText xml:space="preserve"> PAGEREF _Toc476060740 \h </w:instrText>
            </w:r>
            <w:r w:rsidR="00580986">
              <w:rPr>
                <w:webHidden/>
              </w:rPr>
            </w:r>
            <w:r w:rsidR="00580986">
              <w:rPr>
                <w:webHidden/>
              </w:rPr>
              <w:fldChar w:fldCharType="separate"/>
            </w:r>
            <w:r w:rsidR="00BB66A2">
              <w:rPr>
                <w:webHidden/>
              </w:rPr>
              <w:t>25</w:t>
            </w:r>
            <w:r w:rsidR="00580986">
              <w:rPr>
                <w:webHidden/>
              </w:rPr>
              <w:fldChar w:fldCharType="end"/>
            </w:r>
          </w:hyperlink>
        </w:p>
        <w:p w:rsidR="00580986" w:rsidRDefault="00BE0620">
          <w:pPr>
            <w:pStyle w:val="INNH1"/>
            <w:rPr>
              <w:rFonts w:asciiTheme="minorHAnsi" w:eastAsiaTheme="minorEastAsia" w:hAnsiTheme="minorHAnsi" w:cstheme="minorBidi"/>
              <w:b w:val="0"/>
              <w:sz w:val="22"/>
              <w:szCs w:val="22"/>
            </w:rPr>
          </w:pPr>
          <w:hyperlink w:anchor="_Toc476060741" w:history="1">
            <w:r w:rsidR="00580986" w:rsidRPr="009E47A3">
              <w:rPr>
                <w:rStyle w:val="Hyperkobling"/>
              </w:rPr>
              <w:t>Kapittel 5 Vurdering av framtidsutsikter</w:t>
            </w:r>
            <w:r w:rsidR="00580986">
              <w:rPr>
                <w:webHidden/>
              </w:rPr>
              <w:tab/>
            </w:r>
            <w:r w:rsidR="00580986">
              <w:rPr>
                <w:webHidden/>
              </w:rPr>
              <w:fldChar w:fldCharType="begin"/>
            </w:r>
            <w:r w:rsidR="00580986">
              <w:rPr>
                <w:webHidden/>
              </w:rPr>
              <w:instrText xml:space="preserve"> PAGEREF _Toc476060741 \h </w:instrText>
            </w:r>
            <w:r w:rsidR="00580986">
              <w:rPr>
                <w:webHidden/>
              </w:rPr>
            </w:r>
            <w:r w:rsidR="00580986">
              <w:rPr>
                <w:webHidden/>
              </w:rPr>
              <w:fldChar w:fldCharType="separate"/>
            </w:r>
            <w:r w:rsidR="00BB66A2">
              <w:rPr>
                <w:webHidden/>
              </w:rPr>
              <w:t>32</w:t>
            </w:r>
            <w:r w:rsidR="00580986">
              <w:rPr>
                <w:webHidden/>
              </w:rPr>
              <w:fldChar w:fldCharType="end"/>
            </w:r>
          </w:hyperlink>
        </w:p>
        <w:p w:rsidR="006C5C63" w:rsidRDefault="006C5C63">
          <w:r>
            <w:rPr>
              <w:b/>
              <w:bCs/>
            </w:rPr>
            <w:fldChar w:fldCharType="end"/>
          </w:r>
        </w:p>
      </w:sdtContent>
    </w:sdt>
    <w:p w:rsidR="0098414A" w:rsidRPr="00825FB2" w:rsidRDefault="0098414A" w:rsidP="0098414A">
      <w:pPr>
        <w:spacing w:before="0" w:after="0"/>
        <w:rPr>
          <w:b/>
          <w:lang w:val="nn-NO"/>
        </w:rPr>
      </w:pPr>
    </w:p>
    <w:p w:rsidR="0098414A" w:rsidRDefault="0098414A" w:rsidP="0098414A">
      <w:pPr>
        <w:spacing w:before="0" w:after="0"/>
        <w:rPr>
          <w:b/>
          <w:lang w:val="nn-NO"/>
        </w:rPr>
      </w:pPr>
      <w:r>
        <w:rPr>
          <w:b/>
          <w:lang w:val="nn-NO"/>
        </w:rPr>
        <w:br w:type="page"/>
      </w:r>
    </w:p>
    <w:p w:rsidR="006C5C63" w:rsidRDefault="006C5C63" w:rsidP="0098414A">
      <w:pPr>
        <w:spacing w:before="0" w:after="0"/>
        <w:rPr>
          <w:b/>
          <w:lang w:val="nn-NO"/>
        </w:rPr>
        <w:sectPr w:rsidR="006C5C63" w:rsidSect="00C400E2">
          <w:pgSz w:w="11906" w:h="16838" w:code="11"/>
          <w:pgMar w:top="1417" w:right="1417" w:bottom="1417" w:left="1417" w:header="709" w:footer="709" w:gutter="0"/>
          <w:paperSrc w:first="1" w:other="2"/>
          <w:cols w:space="708"/>
          <w:docGrid w:linePitch="360"/>
        </w:sectPr>
      </w:pPr>
    </w:p>
    <w:p w:rsidR="0098414A" w:rsidRPr="0052314F" w:rsidRDefault="0098414A" w:rsidP="006C5C63">
      <w:pPr>
        <w:pStyle w:val="Overskrift1"/>
      </w:pPr>
      <w:bookmarkStart w:id="1" w:name="_Toc476060703"/>
      <w:r w:rsidRPr="0052314F">
        <w:lastRenderedPageBreak/>
        <w:t>Føreord</w:t>
      </w:r>
      <w:bookmarkEnd w:id="1"/>
    </w:p>
    <w:p w:rsidR="002A0738" w:rsidRPr="002F086D" w:rsidRDefault="002A0738" w:rsidP="002A0738">
      <w:pPr>
        <w:rPr>
          <w:lang w:val="nn-NO"/>
        </w:rPr>
      </w:pPr>
      <w:r w:rsidRPr="00A16C32">
        <w:rPr>
          <w:lang w:val="nn-NO"/>
        </w:rPr>
        <w:t xml:space="preserve">I </w:t>
      </w:r>
      <w:r>
        <w:rPr>
          <w:lang w:val="nn-NO"/>
        </w:rPr>
        <w:t>mitt</w:t>
      </w:r>
      <w:r w:rsidRPr="00A16C32">
        <w:rPr>
          <w:lang w:val="nn-NO"/>
        </w:rPr>
        <w:t xml:space="preserve"> første </w:t>
      </w:r>
      <w:r>
        <w:rPr>
          <w:lang w:val="nn-NO"/>
        </w:rPr>
        <w:t>år som ombod har det vært</w:t>
      </w:r>
      <w:r w:rsidRPr="00A16C32">
        <w:rPr>
          <w:lang w:val="nn-NO"/>
        </w:rPr>
        <w:t xml:space="preserve"> viktig for meg </w:t>
      </w:r>
      <w:r>
        <w:rPr>
          <w:lang w:val="nn-NO"/>
        </w:rPr>
        <w:t xml:space="preserve">å </w:t>
      </w:r>
      <w:r w:rsidRPr="00A16C32">
        <w:rPr>
          <w:lang w:val="nn-NO"/>
        </w:rPr>
        <w:t>bli kjent med fagmiljøet og ekspertisen som li</w:t>
      </w:r>
      <w:r>
        <w:rPr>
          <w:lang w:val="nn-NO"/>
        </w:rPr>
        <w:t>gg i og utanfor Likestillings- og diskrimineringsombodet. Ikkje minst har det vært viktig for meg å møte</w:t>
      </w:r>
      <w:r w:rsidRPr="00A16C32">
        <w:rPr>
          <w:lang w:val="nn-NO"/>
        </w:rPr>
        <w:t xml:space="preserve"> dei som kjenner diskrimineringa på kroppen</w:t>
      </w:r>
      <w:r>
        <w:rPr>
          <w:lang w:val="nn-NO"/>
        </w:rPr>
        <w:t xml:space="preserve">. Det er avgjerande for legitimiteten og kvaliteten på ombodet sitt arbeid og anbefalingar, at disse er basert på kunnskap og er faglig forankra. </w:t>
      </w:r>
      <w:r w:rsidRPr="00611F1D">
        <w:rPr>
          <w:lang w:val="nn-NO"/>
        </w:rPr>
        <w:t>Men, skal ombodet oppfylle sitt mandat, må arbeidet og anbefalingane i tillegg spegle verkeleghe</w:t>
      </w:r>
      <w:r>
        <w:rPr>
          <w:lang w:val="nn-NO"/>
        </w:rPr>
        <w:t>i</w:t>
      </w:r>
      <w:r w:rsidRPr="00611F1D">
        <w:rPr>
          <w:lang w:val="nn-NO"/>
        </w:rPr>
        <w:t>t</w:t>
      </w:r>
      <w:r>
        <w:rPr>
          <w:lang w:val="nn-NO"/>
        </w:rPr>
        <w:t>a til dei menneska</w:t>
      </w:r>
      <w:r w:rsidRPr="00611F1D">
        <w:rPr>
          <w:lang w:val="nn-NO"/>
        </w:rPr>
        <w:t xml:space="preserve"> som </w:t>
      </w:r>
      <w:r>
        <w:rPr>
          <w:lang w:val="nn-NO"/>
        </w:rPr>
        <w:t xml:space="preserve">blir </w:t>
      </w:r>
      <w:r w:rsidRPr="00611F1D">
        <w:rPr>
          <w:lang w:val="nn-NO"/>
        </w:rPr>
        <w:t xml:space="preserve">utsett for diskriminering. Enkeltopplevingar gjør inntrykk, men for å ramme den strukturelle ulikestillinga og diskrimineringa, må vi løfte sakene opp på prinsipielt nivå. </w:t>
      </w:r>
      <w:r w:rsidRPr="002F086D">
        <w:rPr>
          <w:lang w:val="nn-NO"/>
        </w:rPr>
        <w:t>Eg er så heldig å ha ei</w:t>
      </w:r>
      <w:r>
        <w:rPr>
          <w:lang w:val="nn-NO"/>
        </w:rPr>
        <w:t>t b</w:t>
      </w:r>
      <w:r w:rsidRPr="002F086D">
        <w:rPr>
          <w:lang w:val="nn-NO"/>
        </w:rPr>
        <w:t>rukerutval</w:t>
      </w:r>
      <w:r>
        <w:rPr>
          <w:lang w:val="nn-NO"/>
        </w:rPr>
        <w:t>, beståande av representanta</w:t>
      </w:r>
      <w:r w:rsidRPr="002F086D">
        <w:rPr>
          <w:lang w:val="nn-NO"/>
        </w:rPr>
        <w:t>r for</w:t>
      </w:r>
      <w:r>
        <w:rPr>
          <w:lang w:val="nn-NO"/>
        </w:rPr>
        <w:t xml:space="preserve"> sentrale interesseorganisasjonar innanfor ombo</w:t>
      </w:r>
      <w:r w:rsidRPr="002F086D">
        <w:rPr>
          <w:lang w:val="nn-NO"/>
        </w:rPr>
        <w:t>det</w:t>
      </w:r>
      <w:r>
        <w:rPr>
          <w:lang w:val="nn-NO"/>
        </w:rPr>
        <w:t xml:space="preserve"> </w:t>
      </w:r>
      <w:r w:rsidRPr="002F086D">
        <w:rPr>
          <w:lang w:val="nn-NO"/>
        </w:rPr>
        <w:t>s</w:t>
      </w:r>
      <w:r>
        <w:rPr>
          <w:lang w:val="nn-NO"/>
        </w:rPr>
        <w:t>itt</w:t>
      </w:r>
      <w:r w:rsidRPr="002F086D">
        <w:rPr>
          <w:lang w:val="nn-NO"/>
        </w:rPr>
        <w:t xml:space="preserve"> mandat, til å bistå meg i nettopp dette arbeidet. </w:t>
      </w:r>
    </w:p>
    <w:p w:rsidR="002A0738" w:rsidRDefault="002A0738" w:rsidP="002A0738">
      <w:pPr>
        <w:rPr>
          <w:lang w:val="nn-NO"/>
        </w:rPr>
      </w:pPr>
    </w:p>
    <w:p w:rsidR="002A0738" w:rsidRPr="002A0738" w:rsidRDefault="002A0738" w:rsidP="002A0738">
      <w:pPr>
        <w:rPr>
          <w:lang w:val="nn-NO"/>
        </w:rPr>
      </w:pPr>
      <w:r w:rsidRPr="002F086D">
        <w:rPr>
          <w:lang w:val="nn-NO"/>
        </w:rPr>
        <w:t>Det er ein føresetnad for eit effektivt likestillings- og diskrimineringsapparat at ombodet treffe</w:t>
      </w:r>
      <w:r>
        <w:rPr>
          <w:lang w:val="nn-NO"/>
        </w:rPr>
        <w:t>r avgjerder</w:t>
      </w:r>
      <w:r w:rsidRPr="002F086D">
        <w:rPr>
          <w:lang w:val="nn-NO"/>
        </w:rPr>
        <w:t xml:space="preserve"> av hø</w:t>
      </w:r>
      <w:r>
        <w:rPr>
          <w:lang w:val="nn-NO"/>
        </w:rPr>
        <w:t>g fagle</w:t>
      </w:r>
      <w:r w:rsidRPr="002F086D">
        <w:rPr>
          <w:lang w:val="nn-NO"/>
        </w:rPr>
        <w:t>g kvalitet, men også at sakene</w:t>
      </w:r>
      <w:r>
        <w:rPr>
          <w:lang w:val="nn-NO"/>
        </w:rPr>
        <w:t xml:space="preserve"> blir avgjort inna</w:t>
      </w:r>
      <w:r w:rsidRPr="002F086D">
        <w:rPr>
          <w:lang w:val="nn-NO"/>
        </w:rPr>
        <w:t>nfor rimel</w:t>
      </w:r>
      <w:r>
        <w:rPr>
          <w:lang w:val="nn-NO"/>
        </w:rPr>
        <w:t>e</w:t>
      </w:r>
      <w:r w:rsidRPr="002F086D">
        <w:rPr>
          <w:lang w:val="nn-NO"/>
        </w:rPr>
        <w:t>g tid. LDO sin hovudprioritet i 2016 har vært å få ned saksbehandlingstida for klagesakene. Heile organisasjonen har i 2016 ar</w:t>
      </w:r>
      <w:r>
        <w:rPr>
          <w:lang w:val="nn-NO"/>
        </w:rPr>
        <w:t>beida målretta</w:t>
      </w:r>
      <w:r w:rsidRPr="002F086D">
        <w:rPr>
          <w:lang w:val="nn-NO"/>
        </w:rPr>
        <w:t xml:space="preserve"> med dette, og det har gitt resul</w:t>
      </w:r>
      <w:r>
        <w:rPr>
          <w:lang w:val="nn-NO"/>
        </w:rPr>
        <w:t>tat</w:t>
      </w:r>
      <w:r w:rsidRPr="002F086D">
        <w:rPr>
          <w:lang w:val="nn-NO"/>
        </w:rPr>
        <w:t>. Gjennomsnittleg saksbehandlingstid for klagesaker har gått ned fr</w:t>
      </w:r>
      <w:r>
        <w:rPr>
          <w:lang w:val="nn-NO"/>
        </w:rPr>
        <w:t>å 245 dager i 2015, til 185 daga</w:t>
      </w:r>
      <w:r w:rsidRPr="002F086D">
        <w:rPr>
          <w:lang w:val="nn-NO"/>
        </w:rPr>
        <w:t>r i 2016. For nye saker som kom inn i 2016, er gjennomsnittleg saksbehandlingst</w:t>
      </w:r>
      <w:r>
        <w:rPr>
          <w:lang w:val="nn-NO"/>
        </w:rPr>
        <w:t xml:space="preserve">id </w:t>
      </w:r>
      <w:r w:rsidR="00BB5A5D">
        <w:rPr>
          <w:lang w:val="nn-NO"/>
        </w:rPr>
        <w:t>113</w:t>
      </w:r>
      <w:r>
        <w:rPr>
          <w:lang w:val="nn-NO"/>
        </w:rPr>
        <w:t xml:space="preserve"> daga</w:t>
      </w:r>
      <w:r w:rsidRPr="002F086D">
        <w:rPr>
          <w:lang w:val="nn-NO"/>
        </w:rPr>
        <w:t xml:space="preserve">r. </w:t>
      </w:r>
      <w:r w:rsidRPr="005B5F55">
        <w:rPr>
          <w:lang w:val="nn-NO"/>
        </w:rPr>
        <w:t xml:space="preserve">Talet på restansar er lågare enn nokon gong tidlegare. I 2016 har ombodet vidare fått gjennomført ein ekstern vurdering av saker </w:t>
      </w:r>
      <w:r>
        <w:rPr>
          <w:lang w:val="nn-NO"/>
        </w:rPr>
        <w:t>kor ombo</w:t>
      </w:r>
      <w:r w:rsidRPr="005B5F55">
        <w:rPr>
          <w:lang w:val="nn-NO"/>
        </w:rPr>
        <w:t>det</w:t>
      </w:r>
      <w:r>
        <w:rPr>
          <w:lang w:val="nn-NO"/>
        </w:rPr>
        <w:t xml:space="preserve"> </w:t>
      </w:r>
      <w:r w:rsidRPr="005B5F55">
        <w:rPr>
          <w:lang w:val="nn-NO"/>
        </w:rPr>
        <w:t>s</w:t>
      </w:r>
      <w:r>
        <w:rPr>
          <w:lang w:val="nn-NO"/>
        </w:rPr>
        <w:t>in</w:t>
      </w:r>
      <w:r w:rsidRPr="005B5F55">
        <w:rPr>
          <w:lang w:val="nn-NO"/>
        </w:rPr>
        <w:t xml:space="preserve"> uttale i e</w:t>
      </w:r>
      <w:r>
        <w:rPr>
          <w:lang w:val="nn-NO"/>
        </w:rPr>
        <w:t>i</w:t>
      </w:r>
      <w:r w:rsidRPr="005B5F55">
        <w:rPr>
          <w:lang w:val="nn-NO"/>
        </w:rPr>
        <w:t>n sak er påklag</w:t>
      </w:r>
      <w:r>
        <w:rPr>
          <w:lang w:val="nn-NO"/>
        </w:rPr>
        <w:t>a</w:t>
      </w:r>
      <w:r w:rsidRPr="005B5F55">
        <w:rPr>
          <w:lang w:val="nn-NO"/>
        </w:rPr>
        <w:t xml:space="preserve"> til nemnda, og </w:t>
      </w:r>
      <w:r>
        <w:rPr>
          <w:lang w:val="nn-NO"/>
        </w:rPr>
        <w:t>k</w:t>
      </w:r>
      <w:r w:rsidR="00BB5A5D">
        <w:rPr>
          <w:lang w:val="nn-NO"/>
        </w:rPr>
        <w:t>or nemnda har komme</w:t>
      </w:r>
      <w:r w:rsidRPr="005B5F55">
        <w:rPr>
          <w:lang w:val="nn-NO"/>
        </w:rPr>
        <w:t xml:space="preserve"> til e</w:t>
      </w:r>
      <w:r>
        <w:rPr>
          <w:lang w:val="nn-NO"/>
        </w:rPr>
        <w:t>i</w:t>
      </w:r>
      <w:r w:rsidRPr="005B5F55">
        <w:rPr>
          <w:lang w:val="nn-NO"/>
        </w:rPr>
        <w:t>t ann</w:t>
      </w:r>
      <w:r>
        <w:rPr>
          <w:lang w:val="nn-NO"/>
        </w:rPr>
        <w:t>a</w:t>
      </w:r>
      <w:r w:rsidRPr="005B5F55">
        <w:rPr>
          <w:lang w:val="nn-NO"/>
        </w:rPr>
        <w:t xml:space="preserve"> resultat. Vurderinga blei utført av høgsterettsdommar Karin Bruzelius, og bakgrunnen var </w:t>
      </w:r>
      <w:r>
        <w:rPr>
          <w:lang w:val="nn-NO"/>
        </w:rPr>
        <w:t>det</w:t>
      </w:r>
      <w:r w:rsidRPr="005B5F55">
        <w:rPr>
          <w:lang w:val="nn-NO"/>
        </w:rPr>
        <w:t xml:space="preserve"> særleg høge talet for saker so</w:t>
      </w:r>
      <w:r>
        <w:rPr>
          <w:lang w:val="nn-NO"/>
        </w:rPr>
        <w:t xml:space="preserve">m blei </w:t>
      </w:r>
      <w:r w:rsidRPr="005B5F55">
        <w:rPr>
          <w:lang w:val="nn-NO"/>
        </w:rPr>
        <w:t>gjort</w:t>
      </w:r>
      <w:r>
        <w:rPr>
          <w:lang w:val="nn-NO"/>
        </w:rPr>
        <w:t xml:space="preserve"> om</w:t>
      </w:r>
      <w:r w:rsidRPr="005B5F55">
        <w:rPr>
          <w:lang w:val="nn-NO"/>
        </w:rPr>
        <w:t xml:space="preserve"> av nemnda i 2015. Konklusjonane frå dette arbeidet medfører ikkje behov for store endringar i ombodet sitt arbeid. Bruzelius kom </w:t>
      </w:r>
      <w:r>
        <w:rPr>
          <w:lang w:val="nn-NO"/>
        </w:rPr>
        <w:t>likevel</w:t>
      </w:r>
      <w:r w:rsidRPr="005B5F55">
        <w:rPr>
          <w:lang w:val="nn-NO"/>
        </w:rPr>
        <w:t xml:space="preserve"> med nyttig</w:t>
      </w:r>
      <w:r>
        <w:rPr>
          <w:lang w:val="nn-NO"/>
        </w:rPr>
        <w:t>e</w:t>
      </w:r>
      <w:r w:rsidRPr="005B5F55">
        <w:rPr>
          <w:lang w:val="nn-NO"/>
        </w:rPr>
        <w:t xml:space="preserve"> innspill for blant anna å sikre at sakene blir best mogleg opplyst </w:t>
      </w:r>
      <w:r>
        <w:rPr>
          <w:lang w:val="nn-NO"/>
        </w:rPr>
        <w:t>så tidle</w:t>
      </w:r>
      <w:r w:rsidRPr="005B5F55">
        <w:rPr>
          <w:lang w:val="nn-NO"/>
        </w:rPr>
        <w:t>g</w:t>
      </w:r>
      <w:r>
        <w:rPr>
          <w:lang w:val="nn-NO"/>
        </w:rPr>
        <w:t xml:space="preserve"> som mogle</w:t>
      </w:r>
      <w:r w:rsidRPr="005B5F55">
        <w:rPr>
          <w:lang w:val="nn-NO"/>
        </w:rPr>
        <w:t>g</w:t>
      </w:r>
      <w:r>
        <w:rPr>
          <w:lang w:val="nn-NO"/>
        </w:rPr>
        <w:t>.</w:t>
      </w:r>
      <w:r w:rsidRPr="005B5F55">
        <w:rPr>
          <w:lang w:val="nn-NO"/>
        </w:rPr>
        <w:t xml:space="preserve"> </w:t>
      </w:r>
      <w:r w:rsidRPr="002A0738">
        <w:rPr>
          <w:lang w:val="nn-NO"/>
        </w:rPr>
        <w:t>Disse forslaga er nå innarbeida.</w:t>
      </w:r>
    </w:p>
    <w:p w:rsidR="002A0738" w:rsidRPr="002A0738" w:rsidRDefault="002A0738" w:rsidP="002A0738">
      <w:pPr>
        <w:rPr>
          <w:lang w:val="nn-NO"/>
        </w:rPr>
      </w:pPr>
    </w:p>
    <w:p w:rsidR="002A0738" w:rsidRPr="0045276B" w:rsidRDefault="002A0738" w:rsidP="002A0738">
      <w:pPr>
        <w:rPr>
          <w:lang w:val="nn-NO"/>
        </w:rPr>
      </w:pPr>
      <w:r w:rsidRPr="002A0738">
        <w:rPr>
          <w:lang w:val="nn-NO"/>
        </w:rPr>
        <w:t xml:space="preserve">Måltalet for 2017 er ein gjennomsnittleg saksbehandlingstid på 180 dager. Regjeringa varsla ved eiget høyringsbrev i 2016 at den ønsker å skille enkeltsaksbehandlinga ut frå LDO, og legge den til «ny Likestillings- og diskrimineringsnemnd». </w:t>
      </w:r>
      <w:r w:rsidRPr="0045276B">
        <w:rPr>
          <w:lang w:val="nn-NO"/>
        </w:rPr>
        <w:t>I februar 2017 varsla regjeringa vidare at den vurder</w:t>
      </w:r>
      <w:r>
        <w:rPr>
          <w:lang w:val="nn-NO"/>
        </w:rPr>
        <w:t>er å plassere den nye nemnda uta</w:t>
      </w:r>
      <w:r w:rsidRPr="0045276B">
        <w:rPr>
          <w:lang w:val="nn-NO"/>
        </w:rPr>
        <w:t>nfor Oslo. Arbeidet med å oppnå dette måltalet for 2017 kan bli krev</w:t>
      </w:r>
      <w:r>
        <w:rPr>
          <w:lang w:val="nn-NO"/>
        </w:rPr>
        <w:t>ja</w:t>
      </w:r>
      <w:r w:rsidRPr="0045276B">
        <w:rPr>
          <w:lang w:val="nn-NO"/>
        </w:rPr>
        <w:t xml:space="preserve">nde, da erfaringar frå liknande prosessar viser at mange ansatte </w:t>
      </w:r>
      <w:r>
        <w:rPr>
          <w:lang w:val="nn-NO"/>
        </w:rPr>
        <w:t>vel å se seg om etter andre jobba</w:t>
      </w:r>
      <w:r w:rsidRPr="0045276B">
        <w:rPr>
          <w:lang w:val="nn-NO"/>
        </w:rPr>
        <w:t xml:space="preserve">r når </w:t>
      </w:r>
      <w:r>
        <w:rPr>
          <w:lang w:val="nn-NO"/>
        </w:rPr>
        <w:t>eigen arbeidssituasjon er uviss.</w:t>
      </w:r>
      <w:r w:rsidRPr="0045276B">
        <w:rPr>
          <w:lang w:val="nn-NO"/>
        </w:rPr>
        <w:t xml:space="preserve"> </w:t>
      </w:r>
    </w:p>
    <w:p w:rsidR="002A0738" w:rsidRDefault="002A0738" w:rsidP="002A0738">
      <w:pPr>
        <w:rPr>
          <w:lang w:val="nn-NO"/>
        </w:rPr>
      </w:pPr>
    </w:p>
    <w:p w:rsidR="002A0738" w:rsidRPr="00591ECF" w:rsidRDefault="002A0738" w:rsidP="002A0738">
      <w:pPr>
        <w:rPr>
          <w:lang w:val="nn-NO"/>
        </w:rPr>
      </w:pPr>
      <w:r w:rsidRPr="0045276B">
        <w:rPr>
          <w:lang w:val="nn-NO"/>
        </w:rPr>
        <w:t xml:space="preserve">Det første som slo meg som nytt ombod er kor omfattande mitt mandat er. For ikkje </w:t>
      </w:r>
      <w:r>
        <w:rPr>
          <w:lang w:val="nn-NO"/>
        </w:rPr>
        <w:t xml:space="preserve">å ende opp med </w:t>
      </w:r>
      <w:r w:rsidRPr="0045276B">
        <w:rPr>
          <w:lang w:val="nn-NO"/>
        </w:rPr>
        <w:t>å</w:t>
      </w:r>
      <w:r>
        <w:rPr>
          <w:lang w:val="nn-NO"/>
        </w:rPr>
        <w:t xml:space="preserve"> fokusere </w:t>
      </w:r>
      <w:r w:rsidRPr="0045276B">
        <w:rPr>
          <w:lang w:val="nn-NO"/>
        </w:rPr>
        <w:t>på aktuelle saker er det n</w:t>
      </w:r>
      <w:r>
        <w:rPr>
          <w:lang w:val="nn-NO"/>
        </w:rPr>
        <w:t>audsynt</w:t>
      </w:r>
      <w:r w:rsidRPr="0045276B">
        <w:rPr>
          <w:lang w:val="nn-NO"/>
        </w:rPr>
        <w:t xml:space="preserve"> å ha e</w:t>
      </w:r>
      <w:r>
        <w:rPr>
          <w:lang w:val="nn-NO"/>
        </w:rPr>
        <w:t>i</w:t>
      </w:r>
      <w:r w:rsidRPr="0045276B">
        <w:rPr>
          <w:lang w:val="nn-NO"/>
        </w:rPr>
        <w:t>n overordn</w:t>
      </w:r>
      <w:r>
        <w:rPr>
          <w:lang w:val="nn-NO"/>
        </w:rPr>
        <w:t>a</w:t>
      </w:r>
      <w:r w:rsidRPr="0045276B">
        <w:rPr>
          <w:lang w:val="nn-NO"/>
        </w:rPr>
        <w:t xml:space="preserve"> strategi for kva ombodet skal jobbe med f</w:t>
      </w:r>
      <w:r>
        <w:rPr>
          <w:lang w:val="nn-NO"/>
        </w:rPr>
        <w:t>or å oppnå strukturelle endringa</w:t>
      </w:r>
      <w:r w:rsidRPr="0045276B">
        <w:rPr>
          <w:lang w:val="nn-NO"/>
        </w:rPr>
        <w:t>r over tid. Noko av det viktig</w:t>
      </w:r>
      <w:r>
        <w:rPr>
          <w:lang w:val="nn-NO"/>
        </w:rPr>
        <w:t>a</w:t>
      </w:r>
      <w:r w:rsidRPr="0045276B">
        <w:rPr>
          <w:lang w:val="nn-NO"/>
        </w:rPr>
        <w:t>ste vi har gjort i 2016 er derfor å utvikle og forankre, både internt og eksternt, ei</w:t>
      </w:r>
      <w:r>
        <w:rPr>
          <w:lang w:val="nn-NO"/>
        </w:rPr>
        <w:t>t strategisk veikart for dei</w:t>
      </w:r>
      <w:r w:rsidRPr="0045276B">
        <w:rPr>
          <w:lang w:val="nn-NO"/>
        </w:rPr>
        <w:t xml:space="preserve"> saksfelt</w:t>
      </w:r>
      <w:r>
        <w:rPr>
          <w:lang w:val="nn-NO"/>
        </w:rPr>
        <w:t>a ombo</w:t>
      </w:r>
      <w:r w:rsidRPr="0045276B">
        <w:rPr>
          <w:lang w:val="nn-NO"/>
        </w:rPr>
        <w:t>det skal jobbe med de</w:t>
      </w:r>
      <w:r>
        <w:rPr>
          <w:lang w:val="nn-NO"/>
        </w:rPr>
        <w:t>i</w:t>
      </w:r>
      <w:r w:rsidRPr="0045276B">
        <w:rPr>
          <w:lang w:val="nn-NO"/>
        </w:rPr>
        <w:t xml:space="preserve"> neste seks år</w:t>
      </w:r>
      <w:r>
        <w:rPr>
          <w:lang w:val="nn-NO"/>
        </w:rPr>
        <w:t>a</w:t>
      </w:r>
      <w:r w:rsidRPr="0045276B">
        <w:rPr>
          <w:lang w:val="nn-NO"/>
        </w:rPr>
        <w:t>. Å velje ut områda vi skal prioritere, og korleis vi skal jobbe for å oppnå endring, har vært e</w:t>
      </w:r>
      <w:r>
        <w:rPr>
          <w:lang w:val="nn-NO"/>
        </w:rPr>
        <w:t>in tidkrevja</w:t>
      </w:r>
      <w:r w:rsidRPr="0045276B">
        <w:rPr>
          <w:lang w:val="nn-NO"/>
        </w:rPr>
        <w:t xml:space="preserve">nde prosess. </w:t>
      </w:r>
      <w:r w:rsidRPr="00591ECF">
        <w:rPr>
          <w:lang w:val="nn-NO"/>
        </w:rPr>
        <w:t>Det er også vanskele</w:t>
      </w:r>
      <w:r>
        <w:rPr>
          <w:lang w:val="nn-NO"/>
        </w:rPr>
        <w:t>g, for når ein</w:t>
      </w:r>
      <w:r w:rsidRPr="00591ECF">
        <w:rPr>
          <w:lang w:val="nn-NO"/>
        </w:rPr>
        <w:t xml:space="preserve"> prioriterar, må ein velje bort noko</w:t>
      </w:r>
      <w:r>
        <w:rPr>
          <w:lang w:val="nn-NO"/>
        </w:rPr>
        <w:t>.</w:t>
      </w:r>
      <w:r w:rsidRPr="00591ECF">
        <w:rPr>
          <w:lang w:val="nn-NO"/>
        </w:rPr>
        <w:t xml:space="preserve"> Eit endringsarbeid som er systematisk og basert på kunnskap føreset likevel ein klar prioritering av dei</w:t>
      </w:r>
      <w:r>
        <w:rPr>
          <w:lang w:val="nn-NO"/>
        </w:rPr>
        <w:t xml:space="preserve"> tilgjengelege ressursa</w:t>
      </w:r>
      <w:r w:rsidRPr="00591ECF">
        <w:rPr>
          <w:lang w:val="nn-NO"/>
        </w:rPr>
        <w:t xml:space="preserve">ne. </w:t>
      </w:r>
      <w:r w:rsidR="00EC4C02" w:rsidRPr="00EC4C02">
        <w:rPr>
          <w:lang w:val="nn-NO"/>
        </w:rPr>
        <w:t>Det er også naudsynt for ombodet å kunne ha moglegheit til å fange opp, og iverksetje arbeid, på nye situasjonar og område der målgruppane våre vært utsett for ulikestilling og diskriminering</w:t>
      </w:r>
      <w:r w:rsidR="00EC4C02">
        <w:rPr>
          <w:lang w:val="nn-NO"/>
        </w:rPr>
        <w:t>.</w:t>
      </w:r>
    </w:p>
    <w:p w:rsidR="002A0738" w:rsidRDefault="002A0738" w:rsidP="002A0738">
      <w:pPr>
        <w:rPr>
          <w:lang w:val="nn-NO"/>
        </w:rPr>
      </w:pPr>
    </w:p>
    <w:p w:rsidR="002A0738" w:rsidRDefault="002A0738" w:rsidP="002A0738">
      <w:pPr>
        <w:rPr>
          <w:lang w:val="nn-NO"/>
        </w:rPr>
      </w:pPr>
      <w:r w:rsidRPr="00591ECF">
        <w:rPr>
          <w:lang w:val="nn-NO"/>
        </w:rPr>
        <w:lastRenderedPageBreak/>
        <w:t>Hovudsatsingsområd</w:t>
      </w:r>
      <w:r>
        <w:rPr>
          <w:lang w:val="nn-NO"/>
        </w:rPr>
        <w:t>a for ombo</w:t>
      </w:r>
      <w:r w:rsidRPr="00591ECF">
        <w:rPr>
          <w:lang w:val="nn-NO"/>
        </w:rPr>
        <w:t>det de</w:t>
      </w:r>
      <w:r>
        <w:rPr>
          <w:lang w:val="nn-NO"/>
        </w:rPr>
        <w:t>i</w:t>
      </w:r>
      <w:r w:rsidRPr="00591ECF">
        <w:rPr>
          <w:lang w:val="nn-NO"/>
        </w:rPr>
        <w:t xml:space="preserve"> neste seks år</w:t>
      </w:r>
      <w:r>
        <w:rPr>
          <w:lang w:val="nn-NO"/>
        </w:rPr>
        <w:t>a er innanfor arbeidsliv, sku</w:t>
      </w:r>
      <w:r w:rsidRPr="00591ECF">
        <w:rPr>
          <w:lang w:val="nn-NO"/>
        </w:rPr>
        <w:t>le og utdanning, vald</w:t>
      </w:r>
      <w:r w:rsidR="00945677">
        <w:rPr>
          <w:lang w:val="nn-NO"/>
        </w:rPr>
        <w:t xml:space="preserve"> i nære relasjonar</w:t>
      </w:r>
      <w:r w:rsidRPr="00591ECF">
        <w:rPr>
          <w:lang w:val="nn-NO"/>
        </w:rPr>
        <w:t>, overgrep og seksuell</w:t>
      </w:r>
      <w:r>
        <w:rPr>
          <w:lang w:val="nn-NO"/>
        </w:rPr>
        <w:t xml:space="preserve"> </w:t>
      </w:r>
      <w:r w:rsidRPr="00591ECF">
        <w:rPr>
          <w:lang w:val="nn-NO"/>
        </w:rPr>
        <w:t>trakassering, helse, bruk av tvang, hatkriminalitet og hatefulle yt</w:t>
      </w:r>
      <w:r>
        <w:rPr>
          <w:lang w:val="nn-NO"/>
        </w:rPr>
        <w:t>ringa</w:t>
      </w:r>
      <w:r w:rsidRPr="00591ECF">
        <w:rPr>
          <w:lang w:val="nn-NO"/>
        </w:rPr>
        <w:t xml:space="preserve">r. Gutter og menn sine utfordringar er blitt gjenstand for ein eigen analyse innanfor fleire av disse tema. Innanfor </w:t>
      </w:r>
      <w:r>
        <w:rPr>
          <w:lang w:val="nn-NO"/>
        </w:rPr>
        <w:t>hovu</w:t>
      </w:r>
      <w:r w:rsidRPr="00591ECF">
        <w:rPr>
          <w:lang w:val="nn-NO"/>
        </w:rPr>
        <w:t>dsatsingsområd</w:t>
      </w:r>
      <w:r>
        <w:rPr>
          <w:lang w:val="nn-NO"/>
        </w:rPr>
        <w:t>a</w:t>
      </w:r>
      <w:r w:rsidRPr="00591ECF">
        <w:rPr>
          <w:lang w:val="nn-NO"/>
        </w:rPr>
        <w:t xml:space="preserve"> er det oppstilt kl</w:t>
      </w:r>
      <w:r>
        <w:rPr>
          <w:lang w:val="nn-NO"/>
        </w:rPr>
        <w:t>are utfordringar, og delmål på veg</w:t>
      </w:r>
      <w:r w:rsidRPr="00591ECF">
        <w:rPr>
          <w:lang w:val="nn-NO"/>
        </w:rPr>
        <w:t>en for å møte disse. Rapporter om tilstand og aktiv bruk av LDO sitt tilsynsansvar med sentrale FN-konvensjona</w:t>
      </w:r>
      <w:r>
        <w:rPr>
          <w:lang w:val="nn-NO"/>
        </w:rPr>
        <w:t>r innanfor vårt mandat, vil vere sentralt</w:t>
      </w:r>
      <w:r w:rsidRPr="00591ECF">
        <w:rPr>
          <w:lang w:val="nn-NO"/>
        </w:rPr>
        <w:t xml:space="preserve"> i vårt arbeid de</w:t>
      </w:r>
      <w:r>
        <w:rPr>
          <w:lang w:val="nn-NO"/>
        </w:rPr>
        <w:t>i</w:t>
      </w:r>
      <w:r w:rsidRPr="00591ECF">
        <w:rPr>
          <w:lang w:val="nn-NO"/>
        </w:rPr>
        <w:t xml:space="preserve"> neste seks år</w:t>
      </w:r>
      <w:r>
        <w:rPr>
          <w:lang w:val="nn-NO"/>
        </w:rPr>
        <w:t>a</w:t>
      </w:r>
      <w:r w:rsidRPr="00591ECF">
        <w:rPr>
          <w:lang w:val="nn-NO"/>
        </w:rPr>
        <w:t xml:space="preserve">. </w:t>
      </w:r>
      <w:r>
        <w:rPr>
          <w:lang w:val="nn-NO"/>
        </w:rPr>
        <w:t xml:space="preserve">Strategien finner du på vår </w:t>
      </w:r>
      <w:r w:rsidR="00846299">
        <w:rPr>
          <w:lang w:val="nn-NO"/>
        </w:rPr>
        <w:t xml:space="preserve">heimeside </w:t>
      </w:r>
      <w:r w:rsidR="00BB5A5D">
        <w:rPr>
          <w:lang w:val="nn-NO"/>
        </w:rPr>
        <w:t>www.ldo.no</w:t>
      </w:r>
      <w:r>
        <w:rPr>
          <w:lang w:val="nn-NO"/>
        </w:rPr>
        <w:t xml:space="preserve">. </w:t>
      </w:r>
    </w:p>
    <w:p w:rsidR="002A0738" w:rsidRDefault="002A0738" w:rsidP="002A0738">
      <w:pPr>
        <w:rPr>
          <w:lang w:val="nn-NO"/>
        </w:rPr>
      </w:pPr>
    </w:p>
    <w:p w:rsidR="002A0738" w:rsidRDefault="002A0738" w:rsidP="002A0738">
      <w:pPr>
        <w:rPr>
          <w:lang w:val="nn-NO"/>
        </w:rPr>
      </w:pPr>
      <w:r>
        <w:rPr>
          <w:lang w:val="nn-NO"/>
        </w:rPr>
        <w:t>God lesing,</w:t>
      </w:r>
    </w:p>
    <w:p w:rsidR="002A0738" w:rsidRDefault="002A0738" w:rsidP="002A0738">
      <w:pPr>
        <w:rPr>
          <w:lang w:val="nn-NO"/>
        </w:rPr>
      </w:pPr>
    </w:p>
    <w:p w:rsidR="002A0738" w:rsidRDefault="002A0738" w:rsidP="002A0738">
      <w:pPr>
        <w:rPr>
          <w:lang w:val="nn-NO"/>
        </w:rPr>
      </w:pPr>
    </w:p>
    <w:p w:rsidR="002A0738" w:rsidRDefault="002A0738" w:rsidP="002A0738">
      <w:pPr>
        <w:rPr>
          <w:lang w:val="nn-NO"/>
        </w:rPr>
      </w:pPr>
    </w:p>
    <w:p w:rsidR="002A0738" w:rsidRDefault="002A0738" w:rsidP="002A0738">
      <w:pPr>
        <w:rPr>
          <w:lang w:val="nn-NO"/>
        </w:rPr>
      </w:pPr>
    </w:p>
    <w:p w:rsidR="002A0738" w:rsidRDefault="002A0738" w:rsidP="002A0738">
      <w:pPr>
        <w:rPr>
          <w:lang w:val="nn-NO"/>
        </w:rPr>
      </w:pPr>
    </w:p>
    <w:p w:rsidR="002A0738" w:rsidRDefault="002A0738" w:rsidP="002A0738">
      <w:pPr>
        <w:rPr>
          <w:lang w:val="nn-NO"/>
        </w:rPr>
      </w:pPr>
    </w:p>
    <w:p w:rsidR="002A0738" w:rsidRPr="00A16C32" w:rsidRDefault="002A0738" w:rsidP="002A0738">
      <w:pPr>
        <w:rPr>
          <w:lang w:val="nn-NO"/>
        </w:rPr>
      </w:pPr>
      <w:r w:rsidRPr="00D41BB4">
        <w:rPr>
          <w:noProof/>
        </w:rPr>
        <w:drawing>
          <wp:inline distT="0" distB="0" distL="0" distR="0" wp14:anchorId="37259516" wp14:editId="37D53779">
            <wp:extent cx="1123950" cy="703399"/>
            <wp:effectExtent l="0" t="0" r="0" b="1905"/>
            <wp:docPr id="2" name="Bilde 2" descr="C:\Users\raer\AppData\Local\Microsoft\Windows\Temporary Internet Files\Content.Outlook\E79EB9Z9\Hanne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r\AppData\Local\Microsoft\Windows\Temporary Internet Files\Content.Outlook\E79EB9Z9\Hanne 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426" cy="732485"/>
                    </a:xfrm>
                    <a:prstGeom prst="rect">
                      <a:avLst/>
                    </a:prstGeom>
                    <a:noFill/>
                    <a:ln>
                      <a:noFill/>
                    </a:ln>
                  </pic:spPr>
                </pic:pic>
              </a:graphicData>
            </a:graphic>
          </wp:inline>
        </w:drawing>
      </w:r>
    </w:p>
    <w:p w:rsidR="002A0738" w:rsidRPr="00A16C32" w:rsidRDefault="002A0738" w:rsidP="002A0738">
      <w:pPr>
        <w:rPr>
          <w:lang w:val="nn-NO"/>
        </w:rPr>
      </w:pPr>
      <w:r w:rsidRPr="00A16C32">
        <w:rPr>
          <w:lang w:val="nn-NO"/>
        </w:rPr>
        <w:t xml:space="preserve">Hanne </w:t>
      </w:r>
      <w:r>
        <w:rPr>
          <w:lang w:val="nn-NO"/>
        </w:rPr>
        <w:t xml:space="preserve">Inger </w:t>
      </w:r>
      <w:r w:rsidRPr="00A16C32">
        <w:rPr>
          <w:lang w:val="nn-NO"/>
        </w:rPr>
        <w:t>Bjurstrøm</w:t>
      </w:r>
    </w:p>
    <w:p w:rsidR="002A0738" w:rsidRPr="00A16C32" w:rsidRDefault="002A0738" w:rsidP="002A0738">
      <w:pPr>
        <w:rPr>
          <w:lang w:val="nn-NO"/>
        </w:rPr>
      </w:pPr>
      <w:r w:rsidRPr="00A16C32">
        <w:rPr>
          <w:lang w:val="nn-NO"/>
        </w:rPr>
        <w:t>Likestillings- og diskrimineringsombod</w:t>
      </w:r>
    </w:p>
    <w:p w:rsidR="00760641" w:rsidRDefault="00760641" w:rsidP="00760641">
      <w:pPr>
        <w:rPr>
          <w:lang w:val="nn-NO"/>
        </w:rPr>
      </w:pPr>
    </w:p>
    <w:p w:rsidR="00760641" w:rsidRDefault="00760641" w:rsidP="00760641">
      <w:pPr>
        <w:rPr>
          <w:lang w:val="nn-NO"/>
        </w:rPr>
      </w:pPr>
    </w:p>
    <w:p w:rsidR="00760641" w:rsidRDefault="00760641" w:rsidP="00760641">
      <w:pPr>
        <w:rPr>
          <w:lang w:val="nn-NO"/>
        </w:rPr>
      </w:pPr>
    </w:p>
    <w:p w:rsidR="00760641" w:rsidRDefault="00BB5A5D" w:rsidP="00760641">
      <w:pPr>
        <w:rPr>
          <w:lang w:val="nn-NO"/>
        </w:rPr>
      </w:pPr>
      <w:r>
        <w:rPr>
          <w:lang w:val="nn-NO"/>
        </w:rPr>
        <w:br w:type="column"/>
      </w:r>
    </w:p>
    <w:p w:rsidR="0098414A" w:rsidRDefault="0098414A" w:rsidP="006C5C63">
      <w:pPr>
        <w:pStyle w:val="Overskrift1"/>
      </w:pPr>
      <w:bookmarkStart w:id="2" w:name="_Toc476060704"/>
      <w:r>
        <w:t>Introduksjon til verksemda</w:t>
      </w:r>
      <w:bookmarkEnd w:id="2"/>
      <w:r>
        <w:t xml:space="preserve"> </w:t>
      </w:r>
    </w:p>
    <w:p w:rsidR="0098414A" w:rsidRDefault="0098414A" w:rsidP="0098414A">
      <w:pPr>
        <w:rPr>
          <w:lang w:val="nn-NO"/>
        </w:rPr>
      </w:pPr>
      <w:r w:rsidRPr="00C54C44">
        <w:rPr>
          <w:lang w:val="nn-NO"/>
        </w:rPr>
        <w:t>Likestilling</w:t>
      </w:r>
      <w:r>
        <w:rPr>
          <w:lang w:val="nn-NO"/>
        </w:rPr>
        <w:t xml:space="preserve">s- og diskrimineringsombodet er dagleg i kontakt med menneske som fortel om mobbing, trakassering, utestenging og diskriminering. Dei fortel at dei blir fråteke moglegheit til deltaking og til å påverke sitt eiget liv og sin eigen kvardag. </w:t>
      </w:r>
    </w:p>
    <w:p w:rsidR="0098414A" w:rsidRDefault="0098414A" w:rsidP="0098414A">
      <w:pPr>
        <w:rPr>
          <w:lang w:val="nn-NO"/>
        </w:rPr>
      </w:pPr>
    </w:p>
    <w:p w:rsidR="0098414A" w:rsidRDefault="0098414A" w:rsidP="0098414A">
      <w:pPr>
        <w:rPr>
          <w:lang w:val="nn-NO"/>
        </w:rPr>
      </w:pPr>
      <w:r>
        <w:rPr>
          <w:lang w:val="nn-NO"/>
        </w:rPr>
        <w:t xml:space="preserve">Ombodet er etablert av Stortinget og arbeidet er regulert i diskrimineringsombudsloven. LDO handhevar diskrimineringsforboda i lovverket, gir rettleiing, er ein pådrivar for likestilling og førar tilsyn med bestemte FN-konvensjonar. </w:t>
      </w:r>
    </w:p>
    <w:p w:rsidR="0098414A" w:rsidRDefault="0098414A" w:rsidP="0098414A">
      <w:pPr>
        <w:rPr>
          <w:lang w:val="nn-NO"/>
        </w:rPr>
      </w:pPr>
    </w:p>
    <w:p w:rsidR="0098414A" w:rsidRDefault="0098414A" w:rsidP="0098414A">
      <w:pPr>
        <w:rPr>
          <w:lang w:val="nn-NO"/>
        </w:rPr>
      </w:pPr>
      <w:r>
        <w:rPr>
          <w:lang w:val="nn-NO"/>
        </w:rPr>
        <w:t xml:space="preserve">For å oppfylle mandatet vårt skal vi hjelpe og endre. Vi skal hjelpe dei som blir diskriminert, og vi skal endre dei strukturane som fører til diskriminering. Vi skal </w:t>
      </w:r>
      <w:r w:rsidRPr="00601099">
        <w:rPr>
          <w:lang w:val="nn-NO"/>
        </w:rPr>
        <w:t>fremme likestillin</w:t>
      </w:r>
      <w:r>
        <w:rPr>
          <w:lang w:val="nn-NO"/>
        </w:rPr>
        <w:t xml:space="preserve">g og kjempe mot diskriminering </w:t>
      </w:r>
      <w:r w:rsidRPr="00601099">
        <w:rPr>
          <w:lang w:val="nn-NO"/>
        </w:rPr>
        <w:t>på grunn av kjønn, etnisitet, religion, funksjonsevne, seksuell orientering, k</w:t>
      </w:r>
      <w:r>
        <w:rPr>
          <w:lang w:val="nn-NO"/>
        </w:rPr>
        <w:t>jønnsidentitet, kjønnsuttrykk,</w:t>
      </w:r>
      <w:r w:rsidRPr="00601099">
        <w:rPr>
          <w:lang w:val="nn-NO"/>
        </w:rPr>
        <w:t xml:space="preserve"> alder</w:t>
      </w:r>
      <w:r>
        <w:rPr>
          <w:lang w:val="nn-NO"/>
        </w:rPr>
        <w:t>, medlemskap i arbeidtakarorganiosasjon og politisk syn</w:t>
      </w:r>
      <w:r w:rsidRPr="00601099">
        <w:rPr>
          <w:lang w:val="nn-NO"/>
        </w:rPr>
        <w:t>.</w:t>
      </w:r>
    </w:p>
    <w:p w:rsidR="0098414A" w:rsidRDefault="0098414A" w:rsidP="0098414A">
      <w:pPr>
        <w:rPr>
          <w:lang w:val="nn-NO"/>
        </w:rPr>
      </w:pPr>
    </w:p>
    <w:p w:rsidR="0098414A" w:rsidRDefault="0098414A" w:rsidP="0098414A">
      <w:pPr>
        <w:rPr>
          <w:lang w:val="nn-NO"/>
        </w:rPr>
      </w:pPr>
      <w:r>
        <w:rPr>
          <w:lang w:val="nn-NO"/>
        </w:rPr>
        <w:t>Ombodet er organisert i fem avdelingar. Rettleiingsa</w:t>
      </w:r>
      <w:r w:rsidRPr="00FD41F7">
        <w:rPr>
          <w:lang w:val="nn-NO"/>
        </w:rPr>
        <w:t xml:space="preserve">vdelinga </w:t>
      </w:r>
      <w:r>
        <w:rPr>
          <w:lang w:val="nn-NO"/>
        </w:rPr>
        <w:t>gir</w:t>
      </w:r>
      <w:r w:rsidRPr="00FD41F7">
        <w:rPr>
          <w:lang w:val="nn-NO"/>
        </w:rPr>
        <w:t xml:space="preserve"> rettleiing til einskildpersonar, arbeidsgjevarar og andre som har spørsmål om li</w:t>
      </w:r>
      <w:r>
        <w:rPr>
          <w:lang w:val="nn-NO"/>
        </w:rPr>
        <w:t>kestilling og diskriminering, om rettar og plikta</w:t>
      </w:r>
      <w:r w:rsidRPr="00FD41F7">
        <w:rPr>
          <w:lang w:val="nn-NO"/>
        </w:rPr>
        <w:t>r i</w:t>
      </w:r>
      <w:r>
        <w:rPr>
          <w:lang w:val="nn-NO"/>
        </w:rPr>
        <w:t xml:space="preserve"> arbeidslivet. Avdelinga fører o</w:t>
      </w:r>
      <w:r w:rsidRPr="00FD41F7">
        <w:rPr>
          <w:lang w:val="nn-NO"/>
        </w:rPr>
        <w:t>g tilsyn med den lovpålagte aktivitets</w:t>
      </w:r>
      <w:r>
        <w:rPr>
          <w:lang w:val="nn-NO"/>
        </w:rPr>
        <w:t>- og rapporteringsplikten og gi</w:t>
      </w:r>
      <w:r w:rsidRPr="00FD41F7">
        <w:rPr>
          <w:lang w:val="nn-NO"/>
        </w:rPr>
        <w:t>r rettleiing om denne.</w:t>
      </w:r>
      <w:r>
        <w:rPr>
          <w:lang w:val="nn-NO"/>
        </w:rPr>
        <w:t xml:space="preserve"> </w:t>
      </w:r>
      <w:r w:rsidRPr="00FD41F7">
        <w:rPr>
          <w:lang w:val="nn-NO"/>
        </w:rPr>
        <w:t>Avdeling for lov og rett</w:t>
      </w:r>
      <w:r>
        <w:rPr>
          <w:lang w:val="nn-NO"/>
        </w:rPr>
        <w:t xml:space="preserve">ar </w:t>
      </w:r>
      <w:r w:rsidRPr="00FD41F7">
        <w:rPr>
          <w:lang w:val="nn-NO"/>
        </w:rPr>
        <w:t>tek imot klagar frå personar som meiner de</w:t>
      </w:r>
      <w:r>
        <w:rPr>
          <w:lang w:val="nn-NO"/>
        </w:rPr>
        <w:t>i er blitt diskriminerte, og gir uttale</w:t>
      </w:r>
      <w:r w:rsidRPr="00FD41F7">
        <w:rPr>
          <w:lang w:val="nn-NO"/>
        </w:rPr>
        <w:t xml:space="preserve"> om diskriminering har skjedd eller ikkje. Tilsynsavdelinga har ansvaret for </w:t>
      </w:r>
      <w:r>
        <w:rPr>
          <w:lang w:val="nn-NO"/>
        </w:rPr>
        <w:t>o</w:t>
      </w:r>
      <w:r w:rsidRPr="00FD41F7">
        <w:rPr>
          <w:lang w:val="nn-NO"/>
        </w:rPr>
        <w:t>mbodet</w:t>
      </w:r>
      <w:r>
        <w:rPr>
          <w:lang w:val="nn-NO"/>
        </w:rPr>
        <w:t xml:space="preserve"> </w:t>
      </w:r>
      <w:r w:rsidRPr="00FD41F7">
        <w:rPr>
          <w:lang w:val="nn-NO"/>
        </w:rPr>
        <w:t>s</w:t>
      </w:r>
      <w:r>
        <w:rPr>
          <w:lang w:val="nn-NO"/>
        </w:rPr>
        <w:t>itt</w:t>
      </w:r>
      <w:r w:rsidRPr="00FD41F7">
        <w:rPr>
          <w:lang w:val="nn-NO"/>
        </w:rPr>
        <w:t xml:space="preserve"> tilsyn med at norske styresmakter følgjer forpliktingane i </w:t>
      </w:r>
      <w:r>
        <w:rPr>
          <w:lang w:val="nn-NO"/>
        </w:rPr>
        <w:t xml:space="preserve">bestemte </w:t>
      </w:r>
      <w:r w:rsidRPr="00FD41F7">
        <w:rPr>
          <w:lang w:val="nn-NO"/>
        </w:rPr>
        <w:t>FN-konvensjona</w:t>
      </w:r>
      <w:r>
        <w:rPr>
          <w:lang w:val="nn-NO"/>
        </w:rPr>
        <w:t>r</w:t>
      </w:r>
      <w:r w:rsidRPr="00FD41F7">
        <w:rPr>
          <w:lang w:val="nn-NO"/>
        </w:rPr>
        <w:t>. Kommunikasjonsavdelinga er ansvarleg for ombodet sitt komm</w:t>
      </w:r>
      <w:r>
        <w:rPr>
          <w:lang w:val="nn-NO"/>
        </w:rPr>
        <w:t xml:space="preserve">unikasjons- og pådrivararbeid. </w:t>
      </w:r>
      <w:r w:rsidRPr="00FD41F7">
        <w:rPr>
          <w:lang w:val="nn-NO"/>
        </w:rPr>
        <w:t>Drifts- og utviklingsavdelinga har oppgåver knytta til drifta av om</w:t>
      </w:r>
      <w:r>
        <w:rPr>
          <w:lang w:val="nn-NO"/>
        </w:rPr>
        <w:t>bodet, og skal ivareta</w:t>
      </w:r>
      <w:r w:rsidRPr="00FD41F7">
        <w:rPr>
          <w:lang w:val="nn-NO"/>
        </w:rPr>
        <w:t xml:space="preserve"> støttefunksjonar mellom anna </w:t>
      </w:r>
      <w:r>
        <w:rPr>
          <w:lang w:val="nn-NO"/>
        </w:rPr>
        <w:t xml:space="preserve">innan </w:t>
      </w:r>
      <w:r w:rsidRPr="00FD41F7">
        <w:rPr>
          <w:lang w:val="nn-NO"/>
        </w:rPr>
        <w:t>økonomi, arkiv, kontoradministrasjon, personal, dat</w:t>
      </w:r>
      <w:r>
        <w:rPr>
          <w:lang w:val="nn-NO"/>
        </w:rPr>
        <w:t>atenester og førstelinjetenesta</w:t>
      </w:r>
      <w:r w:rsidRPr="00FD41F7">
        <w:rPr>
          <w:lang w:val="nn-NO"/>
        </w:rPr>
        <w:t xml:space="preserve">. </w:t>
      </w:r>
    </w:p>
    <w:p w:rsidR="0098414A" w:rsidRDefault="0098414A" w:rsidP="0098414A">
      <w:pPr>
        <w:rPr>
          <w:lang w:val="nn-NO"/>
        </w:rPr>
      </w:pPr>
    </w:p>
    <w:p w:rsidR="0098414A" w:rsidRPr="00126672" w:rsidRDefault="0098414A" w:rsidP="006C5C63">
      <w:pPr>
        <w:pStyle w:val="Overskrift3"/>
      </w:pPr>
      <w:bookmarkStart w:id="3" w:name="_Toc476060705"/>
      <w:r w:rsidRPr="0052314F">
        <w:t>Hovudtal</w:t>
      </w:r>
      <w:r w:rsidRPr="00126672">
        <w:t xml:space="preserve"> i 201</w:t>
      </w:r>
      <w:r>
        <w:t>6</w:t>
      </w:r>
      <w:bookmarkEnd w:id="3"/>
    </w:p>
    <w:p w:rsidR="0098414A" w:rsidRDefault="0098414A" w:rsidP="0098414A">
      <w:pPr>
        <w:rPr>
          <w:lang w:val="nn-NO"/>
        </w:rPr>
      </w:pPr>
      <w:r w:rsidRPr="00460096">
        <w:rPr>
          <w:lang w:val="nn-NO"/>
        </w:rPr>
        <w:t xml:space="preserve">I 2016 fekk vi </w:t>
      </w:r>
      <w:r w:rsidRPr="006C25E3">
        <w:rPr>
          <w:lang w:val="nn-NO"/>
        </w:rPr>
        <w:t>1870</w:t>
      </w:r>
      <w:r w:rsidRPr="00460096">
        <w:rPr>
          <w:lang w:val="nn-NO"/>
        </w:rPr>
        <w:t xml:space="preserve"> førespurnader om rettleiing, og </w:t>
      </w:r>
      <w:r w:rsidRPr="006C25E3">
        <w:rPr>
          <w:lang w:val="nn-NO"/>
        </w:rPr>
        <w:t>175</w:t>
      </w:r>
      <w:r w:rsidRPr="00460096">
        <w:rPr>
          <w:lang w:val="nn-NO"/>
        </w:rPr>
        <w:t xml:space="preserve"> klage</w:t>
      </w:r>
      <w:r>
        <w:rPr>
          <w:lang w:val="nn-NO"/>
        </w:rPr>
        <w:t>r på diskriminering</w:t>
      </w:r>
      <w:r w:rsidRPr="00460096">
        <w:rPr>
          <w:lang w:val="nn-NO"/>
        </w:rPr>
        <w:t xml:space="preserve">. Det er </w:t>
      </w:r>
      <w:r>
        <w:rPr>
          <w:lang w:val="nn-NO"/>
        </w:rPr>
        <w:t>framleis</w:t>
      </w:r>
      <w:r w:rsidRPr="00460096">
        <w:rPr>
          <w:lang w:val="nn-NO"/>
        </w:rPr>
        <w:t xml:space="preserve"> ein auke</w:t>
      </w:r>
      <w:r>
        <w:rPr>
          <w:lang w:val="nn-NO"/>
        </w:rPr>
        <w:t xml:space="preserve"> i kor mange som tar kontakt med LDO for å få rettleiing i 2016 samanlikna med tidlegare år. </w:t>
      </w:r>
    </w:p>
    <w:p w:rsidR="0098414A" w:rsidRDefault="0098414A" w:rsidP="0098414A">
      <w:pPr>
        <w:rPr>
          <w:lang w:val="nn-NO"/>
        </w:rPr>
      </w:pPr>
    </w:p>
    <w:p w:rsidR="0098414A" w:rsidRDefault="0098414A" w:rsidP="0098414A">
      <w:pPr>
        <w:spacing w:before="0" w:after="0"/>
        <w:rPr>
          <w:b/>
          <w:lang w:val="nn-NO"/>
        </w:rPr>
      </w:pPr>
      <w:r>
        <w:rPr>
          <w:b/>
          <w:lang w:val="nn-NO"/>
        </w:rPr>
        <w:br w:type="page"/>
      </w:r>
    </w:p>
    <w:p w:rsidR="0098414A" w:rsidRPr="00CF0BB6" w:rsidRDefault="0098414A" w:rsidP="006C5C63">
      <w:pPr>
        <w:pStyle w:val="Overskrift3"/>
      </w:pPr>
      <w:bookmarkStart w:id="4" w:name="_Toc476060706"/>
      <w:r w:rsidRPr="00CF0BB6">
        <w:lastRenderedPageBreak/>
        <w:t>Utvalde nøkkeltal frå årsregnskapet</w:t>
      </w:r>
      <w:bookmarkEnd w:id="4"/>
    </w:p>
    <w:tbl>
      <w:tblPr>
        <w:tblW w:w="7240" w:type="dxa"/>
        <w:tblCellMar>
          <w:left w:w="0" w:type="dxa"/>
          <w:right w:w="0" w:type="dxa"/>
        </w:tblCellMar>
        <w:tblLook w:val="04A0" w:firstRow="1" w:lastRow="0" w:firstColumn="1" w:lastColumn="0" w:noHBand="0" w:noVBand="1"/>
      </w:tblPr>
      <w:tblGrid>
        <w:gridCol w:w="3079"/>
        <w:gridCol w:w="1361"/>
        <w:gridCol w:w="1400"/>
        <w:gridCol w:w="1400"/>
      </w:tblGrid>
      <w:tr w:rsidR="0098414A" w:rsidRPr="00CF0BB6" w:rsidTr="0052314F">
        <w:trPr>
          <w:trHeight w:val="300"/>
        </w:trPr>
        <w:tc>
          <w:tcPr>
            <w:tcW w:w="4440" w:type="dxa"/>
            <w:gridSpan w:val="2"/>
            <w:noWrap/>
            <w:tcMar>
              <w:top w:w="0" w:type="dxa"/>
              <w:left w:w="70" w:type="dxa"/>
              <w:bottom w:w="0" w:type="dxa"/>
              <w:right w:w="70" w:type="dxa"/>
            </w:tcMar>
            <w:vAlign w:val="bottom"/>
            <w:hideMark/>
          </w:tcPr>
          <w:p w:rsidR="0098414A" w:rsidRPr="00CF0BB6" w:rsidRDefault="0098414A" w:rsidP="0052314F">
            <w:pPr>
              <w:rPr>
                <w:lang w:val="nn-NO"/>
              </w:rPr>
            </w:pPr>
          </w:p>
        </w:tc>
        <w:tc>
          <w:tcPr>
            <w:tcW w:w="1400" w:type="dxa"/>
            <w:noWrap/>
            <w:tcMar>
              <w:top w:w="0" w:type="dxa"/>
              <w:left w:w="70" w:type="dxa"/>
              <w:bottom w:w="0" w:type="dxa"/>
              <w:right w:w="70" w:type="dxa"/>
            </w:tcMar>
            <w:vAlign w:val="bottom"/>
            <w:hideMark/>
          </w:tcPr>
          <w:p w:rsidR="0098414A" w:rsidRPr="00CF0BB6" w:rsidRDefault="0098414A" w:rsidP="0052314F">
            <w:pPr>
              <w:rPr>
                <w:lang w:val="nn-NO"/>
              </w:rPr>
            </w:pPr>
          </w:p>
        </w:tc>
        <w:tc>
          <w:tcPr>
            <w:tcW w:w="1400" w:type="dxa"/>
            <w:noWrap/>
            <w:tcMar>
              <w:top w:w="0" w:type="dxa"/>
              <w:left w:w="70" w:type="dxa"/>
              <w:bottom w:w="0" w:type="dxa"/>
              <w:right w:w="70" w:type="dxa"/>
            </w:tcMar>
            <w:vAlign w:val="bottom"/>
            <w:hideMark/>
          </w:tcPr>
          <w:p w:rsidR="0098414A" w:rsidRPr="00CF0BB6" w:rsidRDefault="0098414A" w:rsidP="0052314F">
            <w:pPr>
              <w:rPr>
                <w:lang w:val="nn-NO"/>
              </w:rPr>
            </w:pPr>
          </w:p>
        </w:tc>
      </w:tr>
      <w:tr w:rsidR="0098414A" w:rsidRPr="00CF0BB6" w:rsidTr="0052314F">
        <w:trPr>
          <w:trHeight w:val="300"/>
        </w:trPr>
        <w:tc>
          <w:tcPr>
            <w:tcW w:w="3079" w:type="dxa"/>
            <w:tcBorders>
              <w:top w:val="nil"/>
              <w:left w:val="nil"/>
              <w:bottom w:val="single" w:sz="8" w:space="0" w:color="auto"/>
              <w:right w:val="nil"/>
            </w:tcBorders>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2014-2016</w:t>
            </w:r>
          </w:p>
        </w:tc>
        <w:tc>
          <w:tcPr>
            <w:tcW w:w="1361" w:type="dxa"/>
            <w:tcBorders>
              <w:top w:val="nil"/>
              <w:left w:val="nil"/>
              <w:bottom w:val="single" w:sz="8" w:space="0" w:color="auto"/>
              <w:right w:val="nil"/>
            </w:tcBorders>
            <w:noWrap/>
            <w:tcMar>
              <w:top w:w="0" w:type="dxa"/>
              <w:left w:w="70" w:type="dxa"/>
              <w:bottom w:w="0" w:type="dxa"/>
              <w:right w:w="70" w:type="dxa"/>
            </w:tcMar>
            <w:vAlign w:val="bottom"/>
          </w:tcPr>
          <w:p w:rsidR="0098414A" w:rsidRPr="00CF0BB6" w:rsidRDefault="0098414A" w:rsidP="0052314F">
            <w:pPr>
              <w:jc w:val="right"/>
              <w:rPr>
                <w:lang w:val="nn-NO"/>
              </w:rPr>
            </w:pPr>
            <w:r>
              <w:rPr>
                <w:lang w:val="nn-NO"/>
              </w:rPr>
              <w:t>2014</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201</w:t>
            </w:r>
            <w:r>
              <w:rPr>
                <w:lang w:val="nn-NO"/>
              </w:rPr>
              <w:t>5</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201</w:t>
            </w:r>
            <w:r>
              <w:rPr>
                <w:lang w:val="nn-NO"/>
              </w:rPr>
              <w:t>6</w:t>
            </w: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 xml:space="preserve">Antal </w:t>
            </w:r>
            <w:r>
              <w:rPr>
                <w:lang w:val="nn-NO"/>
              </w:rPr>
              <w:t>ansatte</w:t>
            </w:r>
          </w:p>
        </w:tc>
        <w:tc>
          <w:tcPr>
            <w:tcW w:w="1361" w:type="dxa"/>
            <w:noWrap/>
            <w:tcMar>
              <w:top w:w="0" w:type="dxa"/>
              <w:left w:w="70" w:type="dxa"/>
              <w:bottom w:w="0" w:type="dxa"/>
              <w:right w:w="70" w:type="dxa"/>
            </w:tcMar>
            <w:vAlign w:val="bottom"/>
          </w:tcPr>
          <w:p w:rsidR="0098414A" w:rsidRPr="00CF0BB6" w:rsidRDefault="0098414A" w:rsidP="0052314F">
            <w:pPr>
              <w:jc w:val="right"/>
              <w:rPr>
                <w:lang w:val="nn-NO"/>
              </w:rPr>
            </w:pPr>
            <w:r>
              <w:rPr>
                <w:lang w:val="nn-NO"/>
              </w:rPr>
              <w:t>63</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6</w:t>
            </w:r>
            <w:r>
              <w:rPr>
                <w:lang w:val="nn-NO"/>
              </w:rPr>
              <w:t>8</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Pr>
                <w:lang w:val="nn-NO"/>
              </w:rPr>
              <w:t>57</w:t>
            </w:r>
            <w:r w:rsidR="00BD0E26">
              <w:rPr>
                <w:rStyle w:val="Fotnotereferanse"/>
                <w:lang w:val="nn-NO"/>
              </w:rPr>
              <w:footnoteReference w:id="1"/>
            </w: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Løyver</w:t>
            </w:r>
          </w:p>
        </w:tc>
        <w:tc>
          <w:tcPr>
            <w:tcW w:w="1361" w:type="dxa"/>
            <w:noWrap/>
            <w:tcMar>
              <w:top w:w="0" w:type="dxa"/>
              <w:left w:w="70" w:type="dxa"/>
              <w:bottom w:w="0" w:type="dxa"/>
              <w:right w:w="70" w:type="dxa"/>
            </w:tcMar>
            <w:vAlign w:val="bottom"/>
          </w:tcPr>
          <w:p w:rsidR="0098414A" w:rsidRPr="00CF0BB6" w:rsidRDefault="0098414A" w:rsidP="0052314F">
            <w:pPr>
              <w:jc w:val="right"/>
              <w:rPr>
                <w:lang w:val="nn-NO"/>
              </w:rPr>
            </w:pPr>
            <w:r>
              <w:rPr>
                <w:lang w:val="nn-NO"/>
              </w:rPr>
              <w:t>54 035 000</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Pr>
                <w:lang w:val="nn-NO"/>
              </w:rPr>
              <w:t>53 981 000</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5</w:t>
            </w:r>
            <w:r>
              <w:rPr>
                <w:lang w:val="nn-NO"/>
              </w:rPr>
              <w:t>2</w:t>
            </w:r>
            <w:r w:rsidRPr="00CF0BB6">
              <w:rPr>
                <w:lang w:val="nn-NO"/>
              </w:rPr>
              <w:t xml:space="preserve"> </w:t>
            </w:r>
            <w:r>
              <w:rPr>
                <w:lang w:val="nn-NO"/>
              </w:rPr>
              <w:t>856</w:t>
            </w:r>
            <w:r w:rsidRPr="00CF0BB6">
              <w:rPr>
                <w:lang w:val="nn-NO"/>
              </w:rPr>
              <w:t xml:space="preserve"> 000</w:t>
            </w: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Driftsutgifter</w:t>
            </w:r>
          </w:p>
        </w:tc>
        <w:tc>
          <w:tcPr>
            <w:tcW w:w="1361" w:type="dxa"/>
            <w:noWrap/>
            <w:tcMar>
              <w:top w:w="0" w:type="dxa"/>
              <w:left w:w="70" w:type="dxa"/>
              <w:bottom w:w="0" w:type="dxa"/>
              <w:right w:w="70" w:type="dxa"/>
            </w:tcMar>
            <w:vAlign w:val="bottom"/>
          </w:tcPr>
          <w:p w:rsidR="0098414A" w:rsidRPr="00CF0BB6" w:rsidRDefault="0098414A" w:rsidP="0052314F">
            <w:pPr>
              <w:jc w:val="right"/>
              <w:rPr>
                <w:lang w:val="nn-NO"/>
              </w:rPr>
            </w:pPr>
            <w:r>
              <w:rPr>
                <w:lang w:val="nn-NO"/>
              </w:rPr>
              <w:t>55 964 365</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Pr>
                <w:lang w:val="nn-NO"/>
              </w:rPr>
              <w:t>56 680 766</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5</w:t>
            </w:r>
            <w:r>
              <w:rPr>
                <w:lang w:val="nn-NO"/>
              </w:rPr>
              <w:t>4 409 920</w:t>
            </w: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Løn</w:t>
            </w:r>
            <w:r>
              <w:rPr>
                <w:lang w:val="nn-NO"/>
              </w:rPr>
              <w:t>n</w:t>
            </w:r>
            <w:r w:rsidRPr="00CF0BB6">
              <w:rPr>
                <w:lang w:val="nn-NO"/>
              </w:rPr>
              <w:t>sandel av driftsutgifter</w:t>
            </w:r>
          </w:p>
        </w:tc>
        <w:tc>
          <w:tcPr>
            <w:tcW w:w="1361" w:type="dxa"/>
            <w:noWrap/>
            <w:tcMar>
              <w:top w:w="0" w:type="dxa"/>
              <w:left w:w="70" w:type="dxa"/>
              <w:bottom w:w="0" w:type="dxa"/>
              <w:right w:w="70" w:type="dxa"/>
            </w:tcMar>
            <w:vAlign w:val="bottom"/>
          </w:tcPr>
          <w:p w:rsidR="0098414A" w:rsidRPr="00CF0BB6" w:rsidRDefault="0098414A" w:rsidP="0052314F">
            <w:pPr>
              <w:rPr>
                <w:lang w:val="nn-NO"/>
              </w:rPr>
            </w:pPr>
          </w:p>
        </w:tc>
        <w:tc>
          <w:tcPr>
            <w:tcW w:w="1400" w:type="dxa"/>
            <w:noWrap/>
            <w:tcMar>
              <w:top w:w="0" w:type="dxa"/>
              <w:left w:w="70" w:type="dxa"/>
              <w:bottom w:w="0" w:type="dxa"/>
              <w:right w:w="70" w:type="dxa"/>
            </w:tcMar>
            <w:vAlign w:val="bottom"/>
            <w:hideMark/>
          </w:tcPr>
          <w:p w:rsidR="0098414A" w:rsidRPr="00CF0BB6" w:rsidRDefault="0098414A" w:rsidP="0052314F">
            <w:pPr>
              <w:rPr>
                <w:lang w:val="nn-NO"/>
              </w:rPr>
            </w:pPr>
          </w:p>
        </w:tc>
        <w:tc>
          <w:tcPr>
            <w:tcW w:w="1400" w:type="dxa"/>
            <w:noWrap/>
            <w:tcMar>
              <w:top w:w="0" w:type="dxa"/>
              <w:left w:w="70" w:type="dxa"/>
              <w:bottom w:w="0" w:type="dxa"/>
              <w:right w:w="70" w:type="dxa"/>
            </w:tcMar>
            <w:vAlign w:val="bottom"/>
            <w:hideMark/>
          </w:tcPr>
          <w:p w:rsidR="0098414A" w:rsidRPr="00CF0BB6" w:rsidRDefault="0098414A" w:rsidP="0052314F">
            <w:pPr>
              <w:rPr>
                <w:lang w:val="nn-NO"/>
              </w:rPr>
            </w:pP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CF0BB6" w:rsidRDefault="0098414A" w:rsidP="0052314F">
            <w:pPr>
              <w:rPr>
                <w:lang w:val="nn-NO"/>
              </w:rPr>
            </w:pPr>
            <w:r w:rsidRPr="00CF0BB6">
              <w:rPr>
                <w:lang w:val="nn-NO"/>
              </w:rPr>
              <w:t>i prosent</w:t>
            </w:r>
          </w:p>
        </w:tc>
        <w:tc>
          <w:tcPr>
            <w:tcW w:w="1361" w:type="dxa"/>
            <w:noWrap/>
            <w:tcMar>
              <w:top w:w="0" w:type="dxa"/>
              <w:left w:w="70" w:type="dxa"/>
              <w:bottom w:w="0" w:type="dxa"/>
              <w:right w:w="70" w:type="dxa"/>
            </w:tcMar>
            <w:vAlign w:val="bottom"/>
          </w:tcPr>
          <w:p w:rsidR="0098414A" w:rsidRPr="00CF0BB6" w:rsidRDefault="0098414A" w:rsidP="0052314F">
            <w:pPr>
              <w:jc w:val="right"/>
              <w:rPr>
                <w:lang w:val="nn-NO"/>
              </w:rPr>
            </w:pPr>
            <w:r>
              <w:rPr>
                <w:lang w:val="nn-NO"/>
              </w:rPr>
              <w:t>70,8</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7</w:t>
            </w:r>
            <w:r>
              <w:rPr>
                <w:lang w:val="nn-NO"/>
              </w:rPr>
              <w:t>3</w:t>
            </w:r>
            <w:r w:rsidRPr="00CF0BB6">
              <w:rPr>
                <w:lang w:val="nn-NO"/>
              </w:rPr>
              <w:t>,8 %</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Pr>
                <w:lang w:val="nn-NO"/>
              </w:rPr>
              <w:t>76,3</w:t>
            </w:r>
            <w:r w:rsidRPr="00CF0BB6">
              <w:rPr>
                <w:lang w:val="nn-NO"/>
              </w:rPr>
              <w:t xml:space="preserve"> %</w:t>
            </w:r>
          </w:p>
        </w:tc>
      </w:tr>
      <w:tr w:rsidR="0098414A" w:rsidRPr="001C16AB" w:rsidTr="0052314F">
        <w:trPr>
          <w:trHeight w:val="285"/>
        </w:trPr>
        <w:tc>
          <w:tcPr>
            <w:tcW w:w="3079" w:type="dxa"/>
            <w:noWrap/>
            <w:tcMar>
              <w:top w:w="0" w:type="dxa"/>
              <w:left w:w="70" w:type="dxa"/>
              <w:bottom w:w="0" w:type="dxa"/>
              <w:right w:w="70" w:type="dxa"/>
            </w:tcMar>
            <w:vAlign w:val="bottom"/>
            <w:hideMark/>
          </w:tcPr>
          <w:p w:rsidR="0098414A" w:rsidRPr="00872777" w:rsidRDefault="0098414A" w:rsidP="0052314F">
            <w:r w:rsidRPr="00872777">
              <w:t>Utgifter til lønn pr årsverk</w:t>
            </w:r>
          </w:p>
        </w:tc>
        <w:tc>
          <w:tcPr>
            <w:tcW w:w="1361" w:type="dxa"/>
            <w:noWrap/>
            <w:tcMar>
              <w:top w:w="0" w:type="dxa"/>
              <w:left w:w="70" w:type="dxa"/>
              <w:bottom w:w="0" w:type="dxa"/>
              <w:right w:w="70" w:type="dxa"/>
            </w:tcMar>
            <w:vAlign w:val="bottom"/>
          </w:tcPr>
          <w:p w:rsidR="0098414A" w:rsidRPr="00CF0BB6" w:rsidRDefault="0098414A" w:rsidP="0052314F">
            <w:pPr>
              <w:jc w:val="right"/>
              <w:rPr>
                <w:lang w:val="nn-NO"/>
              </w:rPr>
            </w:pPr>
            <w:r>
              <w:rPr>
                <w:lang w:val="nn-NO"/>
              </w:rPr>
              <w:t>628 956</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sidRPr="00CF0BB6">
              <w:rPr>
                <w:lang w:val="nn-NO"/>
              </w:rPr>
              <w:t>6</w:t>
            </w:r>
            <w:r>
              <w:rPr>
                <w:lang w:val="nn-NO"/>
              </w:rPr>
              <w:t>15 191</w:t>
            </w:r>
          </w:p>
        </w:tc>
        <w:tc>
          <w:tcPr>
            <w:tcW w:w="1400" w:type="dxa"/>
            <w:noWrap/>
            <w:tcMar>
              <w:top w:w="0" w:type="dxa"/>
              <w:left w:w="70" w:type="dxa"/>
              <w:bottom w:w="0" w:type="dxa"/>
              <w:right w:w="70" w:type="dxa"/>
            </w:tcMar>
            <w:vAlign w:val="bottom"/>
            <w:hideMark/>
          </w:tcPr>
          <w:p w:rsidR="0098414A" w:rsidRPr="00CF0BB6" w:rsidRDefault="0098414A" w:rsidP="0052314F">
            <w:pPr>
              <w:jc w:val="right"/>
              <w:rPr>
                <w:lang w:val="nn-NO"/>
              </w:rPr>
            </w:pPr>
            <w:r>
              <w:rPr>
                <w:lang w:val="nn-NO"/>
              </w:rPr>
              <w:t>684 893</w:t>
            </w:r>
          </w:p>
        </w:tc>
      </w:tr>
    </w:tbl>
    <w:p w:rsidR="0098414A" w:rsidRDefault="0098414A" w:rsidP="0098414A">
      <w:pPr>
        <w:rPr>
          <w:b/>
          <w:sz w:val="36"/>
          <w:szCs w:val="36"/>
          <w:lang w:val="nn-NO"/>
        </w:rPr>
      </w:pPr>
    </w:p>
    <w:p w:rsidR="0098414A" w:rsidRPr="00906E3B" w:rsidRDefault="0098414A" w:rsidP="006C5C63">
      <w:pPr>
        <w:pStyle w:val="Overskrift1"/>
      </w:pPr>
      <w:bookmarkStart w:id="5" w:name="_Toc476060707"/>
      <w:r>
        <w:t>A</w:t>
      </w:r>
      <w:r w:rsidRPr="00906E3B">
        <w:t>ktivitetar og resultat</w:t>
      </w:r>
      <w:bookmarkEnd w:id="5"/>
    </w:p>
    <w:p w:rsidR="0098414A" w:rsidRPr="00906E3B" w:rsidRDefault="0098414A" w:rsidP="0098414A">
      <w:pPr>
        <w:rPr>
          <w:lang w:val="nn-NO"/>
        </w:rPr>
      </w:pPr>
      <w:r>
        <w:rPr>
          <w:lang w:val="nn-NO"/>
        </w:rPr>
        <w:br/>
        <w:t>I</w:t>
      </w:r>
      <w:r w:rsidRPr="00906E3B">
        <w:rPr>
          <w:lang w:val="nn-NO"/>
        </w:rPr>
        <w:t xml:space="preserve"> 201</w:t>
      </w:r>
      <w:r>
        <w:rPr>
          <w:lang w:val="nn-NO"/>
        </w:rPr>
        <w:t>6 arbeida</w:t>
      </w:r>
      <w:r w:rsidRPr="00906E3B">
        <w:rPr>
          <w:lang w:val="nn-NO"/>
        </w:rPr>
        <w:t xml:space="preserve"> vi på fem område for å skape eit meir likestilt samfunn utan diskriminering:</w:t>
      </w:r>
    </w:p>
    <w:p w:rsidR="0098414A" w:rsidRPr="009D05AF" w:rsidRDefault="0098414A" w:rsidP="0098414A">
      <w:pPr>
        <w:pStyle w:val="Listeavsnitt"/>
        <w:numPr>
          <w:ilvl w:val="0"/>
          <w:numId w:val="8"/>
        </w:numPr>
        <w:rPr>
          <w:lang w:val="nn-NO"/>
        </w:rPr>
      </w:pPr>
      <w:r w:rsidRPr="009D05AF">
        <w:rPr>
          <w:lang w:val="nn-NO"/>
        </w:rPr>
        <w:t>Relevant og god hjelp til mange</w:t>
      </w:r>
    </w:p>
    <w:p w:rsidR="0098414A" w:rsidRPr="009D05AF" w:rsidRDefault="0098414A" w:rsidP="0098414A">
      <w:pPr>
        <w:pStyle w:val="Listeavsnitt"/>
        <w:numPr>
          <w:ilvl w:val="0"/>
          <w:numId w:val="8"/>
        </w:numPr>
        <w:rPr>
          <w:lang w:val="nn-NO"/>
        </w:rPr>
      </w:pPr>
      <w:r w:rsidRPr="009D05AF">
        <w:rPr>
          <w:lang w:val="nn-NO"/>
        </w:rPr>
        <w:t>Førebygging</w:t>
      </w:r>
    </w:p>
    <w:p w:rsidR="0098414A" w:rsidRPr="009D05AF" w:rsidRDefault="0098414A" w:rsidP="0098414A">
      <w:pPr>
        <w:pStyle w:val="Listeavsnitt"/>
        <w:numPr>
          <w:ilvl w:val="0"/>
          <w:numId w:val="8"/>
        </w:numPr>
        <w:rPr>
          <w:lang w:val="nn-NO"/>
        </w:rPr>
      </w:pPr>
      <w:r w:rsidRPr="009D05AF">
        <w:rPr>
          <w:lang w:val="nn-NO"/>
        </w:rPr>
        <w:t>Endring gjennom samarbeid</w:t>
      </w:r>
    </w:p>
    <w:p w:rsidR="0098414A" w:rsidRPr="009D05AF" w:rsidRDefault="0098414A" w:rsidP="0098414A">
      <w:pPr>
        <w:pStyle w:val="Listeavsnitt"/>
        <w:numPr>
          <w:ilvl w:val="0"/>
          <w:numId w:val="8"/>
        </w:numPr>
        <w:rPr>
          <w:lang w:val="nn-NO"/>
        </w:rPr>
      </w:pPr>
      <w:r w:rsidRPr="009D05AF">
        <w:rPr>
          <w:lang w:val="nn-NO"/>
        </w:rPr>
        <w:t xml:space="preserve">Tilsyn med </w:t>
      </w:r>
      <w:r>
        <w:rPr>
          <w:lang w:val="nn-NO"/>
        </w:rPr>
        <w:t xml:space="preserve">bestemte </w:t>
      </w:r>
      <w:r w:rsidRPr="009D05AF">
        <w:rPr>
          <w:lang w:val="nn-NO"/>
        </w:rPr>
        <w:t>FN</w:t>
      </w:r>
      <w:r>
        <w:rPr>
          <w:lang w:val="nn-NO"/>
        </w:rPr>
        <w:t>-</w:t>
      </w:r>
      <w:r w:rsidRPr="009D05AF">
        <w:rPr>
          <w:lang w:val="nn-NO"/>
        </w:rPr>
        <w:t>konvensjonar</w:t>
      </w:r>
    </w:p>
    <w:p w:rsidR="0098414A" w:rsidRDefault="0098414A" w:rsidP="0098414A">
      <w:pPr>
        <w:pStyle w:val="Listeavsnitt"/>
        <w:numPr>
          <w:ilvl w:val="0"/>
          <w:numId w:val="8"/>
        </w:numPr>
        <w:rPr>
          <w:lang w:val="nn-NO"/>
        </w:rPr>
      </w:pPr>
      <w:r w:rsidRPr="008B4B72">
        <w:rPr>
          <w:lang w:val="nn-NO"/>
        </w:rPr>
        <w:t>LDO som kunnskapsorganisasjon</w:t>
      </w:r>
    </w:p>
    <w:p w:rsidR="002A0738" w:rsidRDefault="002A0738" w:rsidP="0098414A">
      <w:pPr>
        <w:rPr>
          <w:lang w:val="nn-NO"/>
        </w:rPr>
      </w:pPr>
    </w:p>
    <w:p w:rsidR="0098414A" w:rsidRDefault="0098414A" w:rsidP="0098414A">
      <w:pPr>
        <w:rPr>
          <w:lang w:val="nn-NO"/>
        </w:rPr>
      </w:pPr>
      <w:r>
        <w:rPr>
          <w:lang w:val="nn-NO"/>
        </w:rPr>
        <w:t xml:space="preserve">2016 var også likestillings- og diskrimineringsombod Hanne Inger Bjurstrøm sitt første år som ombod. </w:t>
      </w:r>
      <w:r w:rsidR="00A519E7">
        <w:rPr>
          <w:lang w:val="nn-NO"/>
        </w:rPr>
        <w:t>I 2016 har ombodet arbeida med å utvikle og forankre eit vegkart for særskilde område ombodet ønske å arbeida med i Bjurstrøm sin ombodsperiode</w:t>
      </w:r>
      <w:r>
        <w:rPr>
          <w:lang w:val="nn-NO"/>
        </w:rPr>
        <w:t>.</w:t>
      </w:r>
      <w:r w:rsidR="00A519E7">
        <w:rPr>
          <w:lang w:val="nn-NO"/>
        </w:rPr>
        <w:t xml:space="preserve"> Arbeide har involvert både tilsette hos ombodet og eksterne aktørar med særskild interesse.</w:t>
      </w:r>
    </w:p>
    <w:p w:rsidR="0098414A" w:rsidRPr="008B4B72" w:rsidRDefault="0098414A" w:rsidP="0098414A">
      <w:pPr>
        <w:rPr>
          <w:lang w:val="nn-NO"/>
        </w:rPr>
      </w:pPr>
    </w:p>
    <w:p w:rsidR="0098414A" w:rsidRPr="00906E3B" w:rsidRDefault="0098414A" w:rsidP="006C5C63">
      <w:pPr>
        <w:pStyle w:val="Overskrift2"/>
      </w:pPr>
      <w:bookmarkStart w:id="6" w:name="_Toc476060708"/>
      <w:r w:rsidRPr="00906E3B">
        <w:t>Relevant og god hjelp til mange</w:t>
      </w:r>
      <w:bookmarkEnd w:id="6"/>
    </w:p>
    <w:p w:rsidR="0098414A" w:rsidRPr="00906E3B" w:rsidRDefault="0098414A" w:rsidP="0098414A">
      <w:pPr>
        <w:rPr>
          <w:lang w:val="nn-NO"/>
        </w:rPr>
      </w:pPr>
      <w:r w:rsidRPr="00906E3B">
        <w:rPr>
          <w:lang w:val="nn-NO"/>
        </w:rPr>
        <w:t xml:space="preserve">Likestillings- og diskrimineringsombodet er til for dei som blir diskriminerte. Vi er til for dei som treng råd og rettleiing, og for dei som vil klage på diskriminering. Vi skal jobbe slik at vi gir god, effektiv og relevant hjelp. </w:t>
      </w:r>
    </w:p>
    <w:p w:rsidR="0098414A" w:rsidRPr="00906E3B" w:rsidRDefault="0098414A" w:rsidP="0098414A">
      <w:pPr>
        <w:rPr>
          <w:lang w:val="nn-NO"/>
        </w:rPr>
      </w:pPr>
    </w:p>
    <w:p w:rsidR="0098414A" w:rsidRPr="00906E3B" w:rsidRDefault="0098414A" w:rsidP="006C5C63">
      <w:pPr>
        <w:pStyle w:val="Overskrift3"/>
      </w:pPr>
      <w:bookmarkStart w:id="7" w:name="_Toc476060709"/>
      <w:r w:rsidRPr="00906E3B">
        <w:t>Rettleiing</w:t>
      </w:r>
      <w:bookmarkEnd w:id="7"/>
    </w:p>
    <w:p w:rsidR="0098414A" w:rsidRDefault="0098414A" w:rsidP="0098414A">
      <w:pPr>
        <w:rPr>
          <w:lang w:val="nn-NO"/>
        </w:rPr>
      </w:pPr>
      <w:r>
        <w:rPr>
          <w:lang w:val="nn-NO"/>
        </w:rPr>
        <w:lastRenderedPageBreak/>
        <w:t>Ombodet skal vere eit lågterskel</w:t>
      </w:r>
      <w:r w:rsidRPr="00906E3B">
        <w:rPr>
          <w:lang w:val="nn-NO"/>
        </w:rPr>
        <w:t xml:space="preserve">tilbod som er lett tilgjengeleg for brukarane. Arbeidet med folk som har opplevd diskriminering kan delast i to verkemiddel: rettleiing og klagesaksbehandling. </w:t>
      </w:r>
    </w:p>
    <w:p w:rsidR="0098414A" w:rsidRDefault="0098414A" w:rsidP="0098414A">
      <w:pPr>
        <w:rPr>
          <w:lang w:val="nn-NO"/>
        </w:rPr>
      </w:pPr>
    </w:p>
    <w:p w:rsidR="0098414A" w:rsidRPr="00906E3B" w:rsidRDefault="0098414A" w:rsidP="0098414A">
      <w:pPr>
        <w:rPr>
          <w:lang w:val="nn-NO"/>
        </w:rPr>
      </w:pPr>
      <w:r w:rsidRPr="00906E3B">
        <w:rPr>
          <w:lang w:val="nn-NO"/>
        </w:rPr>
        <w:t>Dei fleste som tar kontakt med oss får først rettleiing. Målet med rettleiinga er at saka blir løyst</w:t>
      </w:r>
      <w:r>
        <w:rPr>
          <w:lang w:val="nn-NO"/>
        </w:rPr>
        <w:t xml:space="preserve"> raskt og med minst mogleg</w:t>
      </w:r>
      <w:r w:rsidRPr="00906E3B">
        <w:rPr>
          <w:lang w:val="nn-NO"/>
        </w:rPr>
        <w:t xml:space="preserve"> belastning for den som er blitt diskriminert. </w:t>
      </w:r>
      <w:r>
        <w:rPr>
          <w:lang w:val="nn-NO"/>
        </w:rPr>
        <w:t>Vi rettleier enkelt</w:t>
      </w:r>
      <w:r w:rsidRPr="00906E3B">
        <w:rPr>
          <w:lang w:val="nn-NO"/>
        </w:rPr>
        <w:t xml:space="preserve">personar, arbeidsgjevarar, </w:t>
      </w:r>
      <w:r>
        <w:rPr>
          <w:lang w:val="nn-NO"/>
        </w:rPr>
        <w:t>offentlege styresmakter</w:t>
      </w:r>
      <w:r w:rsidRPr="00906E3B">
        <w:rPr>
          <w:lang w:val="nn-NO"/>
        </w:rPr>
        <w:t xml:space="preserve"> og andre som har spørsmål om likestilling og diskriminering. Dersom rettleiinga ikkje fører fram, kan det bli ei klagesak. Då gjer vi ei juridisk vurdering av saka, og kjem med ei</w:t>
      </w:r>
      <w:r>
        <w:rPr>
          <w:lang w:val="nn-NO"/>
        </w:rPr>
        <w:t>n uttale om vedkommande</w:t>
      </w:r>
      <w:r w:rsidRPr="00906E3B">
        <w:rPr>
          <w:lang w:val="nn-NO"/>
        </w:rPr>
        <w:t xml:space="preserve"> er blitt utsett for diskriminering eller ikkje.</w:t>
      </w:r>
    </w:p>
    <w:p w:rsidR="0098414A" w:rsidRPr="00906E3B" w:rsidRDefault="0098414A" w:rsidP="0098414A">
      <w:pPr>
        <w:rPr>
          <w:lang w:val="nn-NO"/>
        </w:rPr>
      </w:pPr>
    </w:p>
    <w:p w:rsidR="0098414A" w:rsidRDefault="0098414A" w:rsidP="0098414A">
      <w:pPr>
        <w:rPr>
          <w:lang w:val="nn-NO"/>
        </w:rPr>
      </w:pPr>
      <w:r w:rsidRPr="00A733D4">
        <w:rPr>
          <w:lang w:val="nn-NO"/>
        </w:rPr>
        <w:t xml:space="preserve">I 2016 fekk vi </w:t>
      </w:r>
      <w:r w:rsidRPr="006C25E3">
        <w:rPr>
          <w:lang w:val="nn-NO"/>
        </w:rPr>
        <w:t>1870</w:t>
      </w:r>
      <w:r w:rsidRPr="00A733D4">
        <w:rPr>
          <w:lang w:val="nn-NO"/>
        </w:rPr>
        <w:t xml:space="preserve"> førespurnader om rettleiing. Det er </w:t>
      </w:r>
      <w:r w:rsidRPr="006C25E3">
        <w:rPr>
          <w:lang w:val="nn-NO"/>
        </w:rPr>
        <w:t>4</w:t>
      </w:r>
      <w:r w:rsidRPr="00A733D4">
        <w:rPr>
          <w:lang w:val="nn-NO"/>
        </w:rPr>
        <w:t xml:space="preserve"> prosent fleire som nytta LDO</w:t>
      </w:r>
      <w:r>
        <w:rPr>
          <w:lang w:val="nn-NO"/>
        </w:rPr>
        <w:t xml:space="preserve"> </w:t>
      </w:r>
      <w:r w:rsidRPr="00A733D4">
        <w:rPr>
          <w:lang w:val="nn-NO"/>
        </w:rPr>
        <w:t>s</w:t>
      </w:r>
      <w:r>
        <w:rPr>
          <w:lang w:val="nn-NO"/>
        </w:rPr>
        <w:t>in</w:t>
      </w:r>
      <w:r w:rsidRPr="00A733D4">
        <w:rPr>
          <w:lang w:val="nn-NO"/>
        </w:rPr>
        <w:t xml:space="preserve"> rettleiing</w:t>
      </w:r>
      <w:r>
        <w:rPr>
          <w:lang w:val="nn-NO"/>
        </w:rPr>
        <w:t>steneste</w:t>
      </w:r>
      <w:r w:rsidRPr="00A733D4">
        <w:rPr>
          <w:lang w:val="nn-NO"/>
        </w:rPr>
        <w:t xml:space="preserve"> i 2016 samanlikna med 2015.</w:t>
      </w:r>
      <w:r w:rsidRPr="00906E3B">
        <w:rPr>
          <w:lang w:val="nn-NO"/>
        </w:rPr>
        <w:t xml:space="preserve"> </w:t>
      </w:r>
      <w:r>
        <w:rPr>
          <w:lang w:val="nn-NO"/>
        </w:rPr>
        <w:t xml:space="preserve">Dei siste tre åra har ombodet hatt ein markant aukning i rettleiingssakar. Det er og folk som tar kontakt i direktemeldingar på Facebook. </w:t>
      </w:r>
      <w:r w:rsidRPr="00906E3B">
        <w:rPr>
          <w:lang w:val="nn-NO"/>
        </w:rPr>
        <w:t xml:space="preserve"> </w:t>
      </w:r>
    </w:p>
    <w:p w:rsidR="0098414A" w:rsidRDefault="0098414A" w:rsidP="0098414A">
      <w:pPr>
        <w:rPr>
          <w:lang w:val="nn-NO"/>
        </w:rPr>
      </w:pPr>
    </w:p>
    <w:p w:rsidR="0098414A" w:rsidRPr="00906E3B" w:rsidRDefault="0098414A" w:rsidP="0098414A">
      <w:pPr>
        <w:rPr>
          <w:lang w:val="nn-NO"/>
        </w:rPr>
      </w:pPr>
      <w:r>
        <w:rPr>
          <w:lang w:val="nn-NO"/>
        </w:rPr>
        <w:t xml:space="preserve">Dei fleste som tek kontakt </w:t>
      </w:r>
      <w:r w:rsidRPr="00906E3B">
        <w:rPr>
          <w:lang w:val="nn-NO"/>
        </w:rPr>
        <w:t xml:space="preserve">opplever å bli urettvist behandla på </w:t>
      </w:r>
      <w:r>
        <w:rPr>
          <w:lang w:val="nn-NO"/>
        </w:rPr>
        <w:t xml:space="preserve">grunnlag av kjønn, nedsett </w:t>
      </w:r>
      <w:r w:rsidRPr="00906E3B">
        <w:rPr>
          <w:lang w:val="nn-NO"/>
        </w:rPr>
        <w:t xml:space="preserve">funksjonsevne eller etnisitet. Tabell 1 </w:t>
      </w:r>
      <w:r>
        <w:rPr>
          <w:lang w:val="nn-NO"/>
        </w:rPr>
        <w:t>viser at desse sakene utgjer</w:t>
      </w:r>
      <w:r w:rsidRPr="00906E3B">
        <w:rPr>
          <w:color w:val="FF0000"/>
          <w:lang w:val="nn-NO"/>
        </w:rPr>
        <w:t xml:space="preserve"> </w:t>
      </w:r>
      <w:r>
        <w:rPr>
          <w:lang w:val="nn-NO"/>
        </w:rPr>
        <w:t xml:space="preserve">33, 20 og 13 prosent av </w:t>
      </w:r>
      <w:r w:rsidRPr="00906E3B">
        <w:rPr>
          <w:lang w:val="nn-NO"/>
        </w:rPr>
        <w:t>rettleiing</w:t>
      </w:r>
      <w:r>
        <w:rPr>
          <w:lang w:val="nn-NO"/>
        </w:rPr>
        <w:t>ssakene</w:t>
      </w:r>
      <w:r w:rsidRPr="00906E3B">
        <w:rPr>
          <w:lang w:val="nn-NO"/>
        </w:rPr>
        <w:t xml:space="preserve">. </w:t>
      </w:r>
    </w:p>
    <w:p w:rsidR="0098414A" w:rsidRPr="00906E3B" w:rsidRDefault="0098414A" w:rsidP="0098414A">
      <w:pPr>
        <w:rPr>
          <w:lang w:val="nn-NO"/>
        </w:rPr>
      </w:pPr>
    </w:p>
    <w:p w:rsidR="0098414A" w:rsidRPr="00906E3B" w:rsidRDefault="0098414A" w:rsidP="0098414A">
      <w:pPr>
        <w:rPr>
          <w:u w:val="single"/>
          <w:lang w:val="nn-NO"/>
        </w:rPr>
      </w:pPr>
      <w:r w:rsidRPr="00906E3B">
        <w:rPr>
          <w:u w:val="single"/>
          <w:lang w:val="nn-NO"/>
        </w:rPr>
        <w:t>Tabell 1 Registrerte rettle</w:t>
      </w:r>
      <w:r>
        <w:rPr>
          <w:u w:val="single"/>
          <w:lang w:val="nn-NO"/>
        </w:rPr>
        <w:t xml:space="preserve">iingssaker etter </w:t>
      </w:r>
      <w:r w:rsidRPr="00906E3B">
        <w:rPr>
          <w:u w:val="single"/>
          <w:lang w:val="nn-NO"/>
        </w:rPr>
        <w:t>grunnlag</w:t>
      </w:r>
      <w:r>
        <w:rPr>
          <w:u w:val="single"/>
          <w:lang w:val="nn-NO"/>
        </w:rPr>
        <w:t xml:space="preserve"> for diskriminering</w:t>
      </w:r>
    </w:p>
    <w:p w:rsidR="0098414A" w:rsidRPr="00906E3B" w:rsidRDefault="0098414A" w:rsidP="0098414A">
      <w:pPr>
        <w:rPr>
          <w:u w:val="single"/>
          <w:lang w:val="nn-NO"/>
        </w:rPr>
      </w:pPr>
    </w:p>
    <w:tbl>
      <w:tblPr>
        <w:tblStyle w:val="Tabellrutenett"/>
        <w:tblW w:w="0" w:type="auto"/>
        <w:tblLook w:val="04A0" w:firstRow="1" w:lastRow="0" w:firstColumn="1" w:lastColumn="0" w:noHBand="0" w:noVBand="1"/>
      </w:tblPr>
      <w:tblGrid>
        <w:gridCol w:w="4390"/>
        <w:gridCol w:w="2409"/>
        <w:gridCol w:w="2263"/>
      </w:tblGrid>
      <w:tr w:rsidR="0098414A" w:rsidRPr="00A733D4" w:rsidTr="0052314F">
        <w:tc>
          <w:tcPr>
            <w:tcW w:w="4390" w:type="dxa"/>
          </w:tcPr>
          <w:p w:rsidR="0098414A" w:rsidRPr="006C25E3" w:rsidRDefault="0098414A" w:rsidP="0052314F">
            <w:pPr>
              <w:rPr>
                <w:b/>
                <w:sz w:val="20"/>
                <w:szCs w:val="20"/>
                <w:lang w:val="nn-NO"/>
              </w:rPr>
            </w:pPr>
            <w:r w:rsidRPr="006C25E3">
              <w:rPr>
                <w:b/>
                <w:sz w:val="20"/>
                <w:szCs w:val="20"/>
                <w:lang w:val="nn-NO"/>
              </w:rPr>
              <w:t>Diskrimineringsgrunnlag</w:t>
            </w:r>
          </w:p>
        </w:tc>
        <w:tc>
          <w:tcPr>
            <w:tcW w:w="2409" w:type="dxa"/>
          </w:tcPr>
          <w:p w:rsidR="0098414A" w:rsidRPr="006C25E3" w:rsidRDefault="0098414A" w:rsidP="0052314F">
            <w:pPr>
              <w:rPr>
                <w:b/>
                <w:sz w:val="20"/>
                <w:szCs w:val="20"/>
                <w:lang w:val="nn-NO"/>
              </w:rPr>
            </w:pPr>
            <w:r w:rsidRPr="006C25E3">
              <w:rPr>
                <w:b/>
                <w:sz w:val="20"/>
                <w:szCs w:val="20"/>
                <w:lang w:val="nn-NO"/>
              </w:rPr>
              <w:t>2016</w:t>
            </w:r>
          </w:p>
        </w:tc>
        <w:tc>
          <w:tcPr>
            <w:tcW w:w="2263" w:type="dxa"/>
          </w:tcPr>
          <w:p w:rsidR="0098414A" w:rsidRPr="006C25E3" w:rsidRDefault="0098414A" w:rsidP="0052314F">
            <w:pPr>
              <w:rPr>
                <w:b/>
                <w:sz w:val="20"/>
                <w:szCs w:val="20"/>
                <w:lang w:val="nn-NO"/>
              </w:rPr>
            </w:pPr>
            <w:r w:rsidRPr="006C25E3">
              <w:rPr>
                <w:b/>
                <w:sz w:val="20"/>
                <w:szCs w:val="20"/>
                <w:lang w:val="nn-NO"/>
              </w:rPr>
              <w:t xml:space="preserve">Del </w:t>
            </w:r>
          </w:p>
        </w:tc>
      </w:tr>
      <w:tr w:rsidR="0098414A" w:rsidRPr="00A733D4" w:rsidTr="0052314F">
        <w:tc>
          <w:tcPr>
            <w:tcW w:w="4390" w:type="dxa"/>
            <w:vAlign w:val="bottom"/>
          </w:tcPr>
          <w:p w:rsidR="0098414A" w:rsidRPr="006C25E3" w:rsidRDefault="0098414A" w:rsidP="0052314F">
            <w:pPr>
              <w:spacing w:before="0" w:after="0"/>
              <w:rPr>
                <w:rFonts w:ascii="Calibri" w:hAnsi="Calibri"/>
                <w:color w:val="000000"/>
                <w:sz w:val="22"/>
                <w:szCs w:val="22"/>
              </w:rPr>
            </w:pPr>
            <w:r w:rsidRPr="006C25E3">
              <w:rPr>
                <w:rFonts w:ascii="Calibri" w:hAnsi="Calibri"/>
                <w:color w:val="000000"/>
                <w:sz w:val="22"/>
                <w:szCs w:val="22"/>
              </w:rPr>
              <w:t>Alder</w:t>
            </w:r>
          </w:p>
        </w:tc>
        <w:tc>
          <w:tcPr>
            <w:tcW w:w="2409" w:type="dxa"/>
            <w:vAlign w:val="bottom"/>
          </w:tcPr>
          <w:p w:rsidR="0098414A" w:rsidRPr="006C25E3" w:rsidRDefault="0098414A" w:rsidP="0052314F">
            <w:pPr>
              <w:spacing w:before="0" w:after="0"/>
              <w:jc w:val="right"/>
              <w:rPr>
                <w:rFonts w:ascii="Calibri" w:hAnsi="Calibri"/>
                <w:color w:val="000000"/>
                <w:sz w:val="22"/>
                <w:szCs w:val="22"/>
              </w:rPr>
            </w:pPr>
            <w:r w:rsidRPr="006C25E3">
              <w:rPr>
                <w:rFonts w:ascii="Calibri" w:hAnsi="Calibri"/>
                <w:color w:val="000000"/>
                <w:sz w:val="22"/>
                <w:szCs w:val="22"/>
              </w:rPr>
              <w:t>93</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5%</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Annet</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416</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22%</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Etnisitet mv. (inkl språk)</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240</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13%</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Kjønn</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613</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33%</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Kjønnsidentitet og kjønnsuttrykk</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29</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Nedsatt funksjonsevne</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371</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20%</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Religion</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85</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5%</w:t>
            </w:r>
          </w:p>
        </w:tc>
      </w:tr>
      <w:tr w:rsidR="0098414A" w:rsidRPr="00A733D4"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Seksuell orientering</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23</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w:t>
            </w:r>
          </w:p>
        </w:tc>
      </w:tr>
      <w:tr w:rsidR="0098414A" w:rsidRPr="00906E3B" w:rsidTr="0052314F">
        <w:tc>
          <w:tcPr>
            <w:tcW w:w="4390" w:type="dxa"/>
          </w:tcPr>
          <w:p w:rsidR="0098414A" w:rsidRPr="006C25E3" w:rsidRDefault="0098414A" w:rsidP="0052314F">
            <w:pPr>
              <w:tabs>
                <w:tab w:val="left" w:pos="1310"/>
              </w:tabs>
              <w:rPr>
                <w:sz w:val="20"/>
                <w:szCs w:val="20"/>
                <w:lang w:val="nn-NO"/>
              </w:rPr>
            </w:pPr>
            <w:r w:rsidRPr="006C25E3">
              <w:rPr>
                <w:sz w:val="20"/>
                <w:szCs w:val="20"/>
                <w:lang w:val="nn-NO"/>
              </w:rPr>
              <w:t>Totalt</w:t>
            </w:r>
            <w:r w:rsidRPr="006C25E3">
              <w:rPr>
                <w:sz w:val="20"/>
                <w:szCs w:val="20"/>
                <w:lang w:val="nn-NO"/>
              </w:rPr>
              <w:tab/>
            </w:r>
          </w:p>
        </w:tc>
        <w:tc>
          <w:tcPr>
            <w:tcW w:w="2409" w:type="dxa"/>
            <w:vAlign w:val="bottom"/>
          </w:tcPr>
          <w:p w:rsidR="0098414A" w:rsidRPr="006C25E3" w:rsidRDefault="0098414A" w:rsidP="0052314F">
            <w:pPr>
              <w:jc w:val="right"/>
              <w:rPr>
                <w:rFonts w:ascii="Calibri" w:hAnsi="Calibri"/>
                <w:b/>
                <w:bCs/>
                <w:color w:val="000000"/>
                <w:sz w:val="22"/>
                <w:szCs w:val="22"/>
              </w:rPr>
            </w:pPr>
            <w:r w:rsidRPr="006C25E3">
              <w:rPr>
                <w:rFonts w:ascii="Calibri" w:hAnsi="Calibri"/>
                <w:b/>
                <w:bCs/>
                <w:color w:val="000000"/>
                <w:sz w:val="22"/>
                <w:szCs w:val="22"/>
              </w:rPr>
              <w:t>1870</w:t>
            </w:r>
          </w:p>
        </w:tc>
        <w:tc>
          <w:tcPr>
            <w:tcW w:w="2263" w:type="dxa"/>
            <w:vAlign w:val="bottom"/>
          </w:tcPr>
          <w:p w:rsidR="0098414A" w:rsidRDefault="0098414A" w:rsidP="0052314F">
            <w:pPr>
              <w:jc w:val="right"/>
              <w:rPr>
                <w:rFonts w:ascii="Calibri" w:hAnsi="Calibri"/>
                <w:b/>
                <w:bCs/>
                <w:color w:val="000000"/>
                <w:sz w:val="22"/>
                <w:szCs w:val="22"/>
              </w:rPr>
            </w:pPr>
            <w:r w:rsidRPr="006C25E3">
              <w:rPr>
                <w:rFonts w:ascii="Calibri" w:hAnsi="Calibri"/>
                <w:b/>
                <w:bCs/>
                <w:color w:val="000000"/>
                <w:sz w:val="22"/>
                <w:szCs w:val="22"/>
              </w:rPr>
              <w:t>100%</w:t>
            </w:r>
          </w:p>
        </w:tc>
      </w:tr>
    </w:tbl>
    <w:p w:rsidR="0098414A" w:rsidRPr="00906E3B" w:rsidRDefault="0098414A" w:rsidP="0098414A">
      <w:pPr>
        <w:rPr>
          <w:u w:val="single"/>
          <w:lang w:val="nn-NO"/>
        </w:rPr>
      </w:pPr>
    </w:p>
    <w:p w:rsidR="0098414A" w:rsidRPr="00906E3B" w:rsidRDefault="0098414A" w:rsidP="0098414A">
      <w:pPr>
        <w:rPr>
          <w:u w:val="single"/>
          <w:lang w:val="nn-NO"/>
        </w:rPr>
      </w:pPr>
    </w:p>
    <w:p w:rsidR="0098414A" w:rsidRDefault="0098414A" w:rsidP="0098414A">
      <w:pPr>
        <w:spacing w:before="0" w:after="0"/>
        <w:rPr>
          <w:u w:val="single"/>
          <w:lang w:val="nn-NO"/>
        </w:rPr>
      </w:pPr>
      <w:r>
        <w:rPr>
          <w:u w:val="single"/>
          <w:lang w:val="nn-NO"/>
        </w:rPr>
        <w:br w:type="page"/>
      </w:r>
    </w:p>
    <w:p w:rsidR="0098414A" w:rsidRPr="00906E3B" w:rsidRDefault="0098414A" w:rsidP="0098414A">
      <w:pPr>
        <w:rPr>
          <w:u w:val="single"/>
          <w:lang w:val="nn-NO"/>
        </w:rPr>
      </w:pPr>
      <w:r w:rsidRPr="00906E3B">
        <w:rPr>
          <w:u w:val="single"/>
          <w:lang w:val="nn-NO"/>
        </w:rPr>
        <w:lastRenderedPageBreak/>
        <w:t>Tabell 2 Registrerte rettleiingssaker etter samfunnsområde</w:t>
      </w:r>
    </w:p>
    <w:p w:rsidR="0098414A" w:rsidRPr="00906E3B" w:rsidRDefault="0098414A" w:rsidP="0098414A">
      <w:pPr>
        <w:rPr>
          <w:u w:val="single"/>
          <w:lang w:val="nn-NO"/>
        </w:rPr>
      </w:pPr>
    </w:p>
    <w:tbl>
      <w:tblPr>
        <w:tblStyle w:val="Tabellrutenett"/>
        <w:tblW w:w="0" w:type="auto"/>
        <w:tblLook w:val="04A0" w:firstRow="1" w:lastRow="0" w:firstColumn="1" w:lastColumn="0" w:noHBand="0" w:noVBand="1"/>
      </w:tblPr>
      <w:tblGrid>
        <w:gridCol w:w="4390"/>
        <w:gridCol w:w="2409"/>
        <w:gridCol w:w="2263"/>
      </w:tblGrid>
      <w:tr w:rsidR="0098414A" w:rsidRPr="008D186A" w:rsidTr="0052314F">
        <w:tc>
          <w:tcPr>
            <w:tcW w:w="4390" w:type="dxa"/>
          </w:tcPr>
          <w:p w:rsidR="0098414A" w:rsidRPr="006C25E3" w:rsidRDefault="0098414A" w:rsidP="0052314F">
            <w:pPr>
              <w:rPr>
                <w:b/>
                <w:sz w:val="20"/>
                <w:szCs w:val="20"/>
                <w:lang w:val="nn-NO"/>
              </w:rPr>
            </w:pPr>
            <w:r w:rsidRPr="006C25E3">
              <w:rPr>
                <w:b/>
                <w:sz w:val="20"/>
                <w:szCs w:val="20"/>
                <w:lang w:val="nn-NO"/>
              </w:rPr>
              <w:t>Samfunnsområde</w:t>
            </w:r>
          </w:p>
        </w:tc>
        <w:tc>
          <w:tcPr>
            <w:tcW w:w="2409" w:type="dxa"/>
          </w:tcPr>
          <w:p w:rsidR="0098414A" w:rsidRPr="006C25E3" w:rsidRDefault="0098414A" w:rsidP="0052314F">
            <w:pPr>
              <w:rPr>
                <w:b/>
                <w:sz w:val="20"/>
                <w:szCs w:val="20"/>
                <w:lang w:val="nn-NO"/>
              </w:rPr>
            </w:pPr>
            <w:r w:rsidRPr="006C25E3">
              <w:rPr>
                <w:b/>
                <w:sz w:val="20"/>
                <w:szCs w:val="20"/>
                <w:lang w:val="nn-NO"/>
              </w:rPr>
              <w:t>2016</w:t>
            </w:r>
          </w:p>
        </w:tc>
        <w:tc>
          <w:tcPr>
            <w:tcW w:w="2263" w:type="dxa"/>
          </w:tcPr>
          <w:p w:rsidR="0098414A" w:rsidRPr="006C25E3" w:rsidRDefault="0098414A" w:rsidP="0052314F">
            <w:pPr>
              <w:rPr>
                <w:b/>
                <w:sz w:val="20"/>
                <w:szCs w:val="20"/>
                <w:lang w:val="nn-NO"/>
              </w:rPr>
            </w:pPr>
            <w:r w:rsidRPr="006C25E3">
              <w:rPr>
                <w:b/>
                <w:sz w:val="20"/>
                <w:szCs w:val="20"/>
                <w:lang w:val="nn-NO"/>
              </w:rPr>
              <w:t xml:space="preserve">Del </w:t>
            </w:r>
          </w:p>
        </w:tc>
      </w:tr>
      <w:tr w:rsidR="0098414A" w:rsidRPr="008D186A" w:rsidTr="0052314F">
        <w:tc>
          <w:tcPr>
            <w:tcW w:w="4390" w:type="dxa"/>
            <w:vAlign w:val="bottom"/>
          </w:tcPr>
          <w:p w:rsidR="0098414A" w:rsidRPr="006C25E3" w:rsidRDefault="0098414A" w:rsidP="0052314F">
            <w:pPr>
              <w:spacing w:before="0" w:after="0"/>
              <w:rPr>
                <w:rFonts w:ascii="Calibri" w:hAnsi="Calibri"/>
                <w:color w:val="000000"/>
                <w:sz w:val="22"/>
                <w:szCs w:val="22"/>
              </w:rPr>
            </w:pPr>
            <w:r>
              <w:rPr>
                <w:rFonts w:ascii="Calibri" w:hAnsi="Calibri"/>
                <w:color w:val="000000"/>
                <w:sz w:val="22"/>
                <w:szCs w:val="22"/>
              </w:rPr>
              <w:t>Anna</w:t>
            </w:r>
          </w:p>
        </w:tc>
        <w:tc>
          <w:tcPr>
            <w:tcW w:w="2409" w:type="dxa"/>
            <w:vAlign w:val="bottom"/>
          </w:tcPr>
          <w:p w:rsidR="0098414A" w:rsidRPr="006C25E3" w:rsidRDefault="0098414A" w:rsidP="0052314F">
            <w:pPr>
              <w:spacing w:before="0" w:after="0"/>
              <w:jc w:val="right"/>
              <w:rPr>
                <w:rFonts w:ascii="Calibri" w:hAnsi="Calibri"/>
                <w:color w:val="000000"/>
                <w:sz w:val="22"/>
                <w:szCs w:val="22"/>
              </w:rPr>
            </w:pPr>
            <w:r w:rsidRPr="006C25E3">
              <w:rPr>
                <w:rFonts w:ascii="Calibri" w:hAnsi="Calibri"/>
                <w:color w:val="000000"/>
                <w:sz w:val="22"/>
                <w:szCs w:val="22"/>
              </w:rPr>
              <w:t>192</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10%</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Arbeidsliv</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1002</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54%</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Bolig</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56</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3%</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Pr>
                <w:rFonts w:ascii="Calibri" w:hAnsi="Calibri"/>
                <w:color w:val="000000"/>
                <w:sz w:val="22"/>
                <w:szCs w:val="22"/>
              </w:rPr>
              <w:t>Offentle</w:t>
            </w:r>
            <w:r w:rsidRPr="006C25E3">
              <w:rPr>
                <w:rFonts w:ascii="Calibri" w:hAnsi="Calibri"/>
                <w:color w:val="000000"/>
                <w:sz w:val="22"/>
                <w:szCs w:val="22"/>
              </w:rPr>
              <w:t>g forvaltning</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159</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9%</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Pr>
                <w:rFonts w:ascii="Calibri" w:hAnsi="Calibri"/>
                <w:color w:val="000000"/>
                <w:sz w:val="22"/>
                <w:szCs w:val="22"/>
              </w:rPr>
              <w:t>Politi, rettsapparat</w:t>
            </w:r>
            <w:r w:rsidRPr="006C25E3">
              <w:rPr>
                <w:rFonts w:ascii="Calibri" w:hAnsi="Calibri"/>
                <w:color w:val="000000"/>
                <w:sz w:val="22"/>
                <w:szCs w:val="22"/>
              </w:rPr>
              <w:t xml:space="preserve"> mv.</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42</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sidRPr="006C25E3">
              <w:rPr>
                <w:rFonts w:ascii="Calibri" w:hAnsi="Calibri"/>
                <w:color w:val="000000"/>
                <w:sz w:val="22"/>
                <w:szCs w:val="22"/>
              </w:rPr>
              <w:t>Utdanning</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137</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7%</w:t>
            </w:r>
          </w:p>
        </w:tc>
      </w:tr>
      <w:tr w:rsidR="0098414A" w:rsidRPr="008D186A" w:rsidTr="0052314F">
        <w:tc>
          <w:tcPr>
            <w:tcW w:w="4390" w:type="dxa"/>
            <w:vAlign w:val="bottom"/>
          </w:tcPr>
          <w:p w:rsidR="0098414A" w:rsidRPr="006C25E3" w:rsidRDefault="0098414A" w:rsidP="0052314F">
            <w:pPr>
              <w:rPr>
                <w:rFonts w:ascii="Calibri" w:hAnsi="Calibri"/>
                <w:color w:val="000000"/>
                <w:sz w:val="22"/>
                <w:szCs w:val="22"/>
              </w:rPr>
            </w:pPr>
            <w:r>
              <w:rPr>
                <w:rFonts w:ascii="Calibri" w:hAnsi="Calibri"/>
                <w:color w:val="000000"/>
                <w:sz w:val="22"/>
                <w:szCs w:val="22"/>
              </w:rPr>
              <w:t>Varer og t</w:t>
            </w:r>
            <w:r w:rsidRPr="006C25E3">
              <w:rPr>
                <w:rFonts w:ascii="Calibri" w:hAnsi="Calibri"/>
                <w:color w:val="000000"/>
                <w:sz w:val="22"/>
                <w:szCs w:val="22"/>
              </w:rPr>
              <w:t>enester</w:t>
            </w:r>
          </w:p>
        </w:tc>
        <w:tc>
          <w:tcPr>
            <w:tcW w:w="2409"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282</w:t>
            </w:r>
          </w:p>
        </w:tc>
        <w:tc>
          <w:tcPr>
            <w:tcW w:w="2263" w:type="dxa"/>
            <w:vAlign w:val="bottom"/>
          </w:tcPr>
          <w:p w:rsidR="0098414A" w:rsidRPr="006C25E3" w:rsidRDefault="0098414A" w:rsidP="0052314F">
            <w:pPr>
              <w:jc w:val="right"/>
              <w:rPr>
                <w:rFonts w:ascii="Calibri" w:hAnsi="Calibri"/>
                <w:color w:val="000000"/>
                <w:sz w:val="22"/>
                <w:szCs w:val="22"/>
              </w:rPr>
            </w:pPr>
            <w:r w:rsidRPr="006C25E3">
              <w:rPr>
                <w:rFonts w:ascii="Calibri" w:hAnsi="Calibri"/>
                <w:color w:val="000000"/>
                <w:sz w:val="22"/>
                <w:szCs w:val="22"/>
              </w:rPr>
              <w:t>15%</w:t>
            </w:r>
          </w:p>
        </w:tc>
      </w:tr>
      <w:tr w:rsidR="0098414A" w:rsidRPr="00906E3B" w:rsidTr="0052314F">
        <w:tc>
          <w:tcPr>
            <w:tcW w:w="4390" w:type="dxa"/>
            <w:vAlign w:val="bottom"/>
          </w:tcPr>
          <w:p w:rsidR="0098414A" w:rsidRPr="006C25E3" w:rsidRDefault="0098414A" w:rsidP="0052314F">
            <w:pPr>
              <w:rPr>
                <w:rFonts w:ascii="Calibri" w:hAnsi="Calibri"/>
                <w:b/>
                <w:bCs/>
                <w:color w:val="000000"/>
                <w:sz w:val="22"/>
                <w:szCs w:val="22"/>
              </w:rPr>
            </w:pPr>
            <w:r w:rsidRPr="006C25E3">
              <w:rPr>
                <w:rFonts w:ascii="Calibri" w:hAnsi="Calibri"/>
                <w:b/>
                <w:bCs/>
                <w:color w:val="000000"/>
                <w:sz w:val="22"/>
                <w:szCs w:val="22"/>
              </w:rPr>
              <w:t>Total</w:t>
            </w:r>
          </w:p>
        </w:tc>
        <w:tc>
          <w:tcPr>
            <w:tcW w:w="2409" w:type="dxa"/>
            <w:vAlign w:val="bottom"/>
          </w:tcPr>
          <w:p w:rsidR="0098414A" w:rsidRPr="006C25E3" w:rsidRDefault="0098414A" w:rsidP="0052314F">
            <w:pPr>
              <w:jc w:val="right"/>
              <w:rPr>
                <w:rFonts w:ascii="Calibri" w:hAnsi="Calibri"/>
                <w:b/>
                <w:bCs/>
                <w:color w:val="000000"/>
                <w:sz w:val="22"/>
                <w:szCs w:val="22"/>
              </w:rPr>
            </w:pPr>
            <w:r w:rsidRPr="006C25E3">
              <w:rPr>
                <w:rFonts w:ascii="Calibri" w:hAnsi="Calibri"/>
                <w:b/>
                <w:bCs/>
                <w:color w:val="000000"/>
                <w:sz w:val="22"/>
                <w:szCs w:val="22"/>
              </w:rPr>
              <w:t>1870</w:t>
            </w:r>
          </w:p>
        </w:tc>
        <w:tc>
          <w:tcPr>
            <w:tcW w:w="2263" w:type="dxa"/>
            <w:vAlign w:val="bottom"/>
          </w:tcPr>
          <w:p w:rsidR="0098414A" w:rsidRPr="00A733D4" w:rsidRDefault="0098414A" w:rsidP="0052314F">
            <w:pPr>
              <w:jc w:val="right"/>
              <w:rPr>
                <w:rFonts w:ascii="Calibri" w:hAnsi="Calibri"/>
                <w:b/>
                <w:bCs/>
                <w:color w:val="000000"/>
                <w:sz w:val="22"/>
                <w:szCs w:val="22"/>
              </w:rPr>
            </w:pPr>
            <w:r w:rsidRPr="006C25E3">
              <w:rPr>
                <w:rFonts w:ascii="Calibri" w:hAnsi="Calibri"/>
                <w:b/>
                <w:bCs/>
                <w:color w:val="000000"/>
                <w:sz w:val="22"/>
                <w:szCs w:val="22"/>
              </w:rPr>
              <w:t>100%</w:t>
            </w:r>
          </w:p>
        </w:tc>
      </w:tr>
    </w:tbl>
    <w:p w:rsidR="0098414A" w:rsidRPr="00906E3B" w:rsidRDefault="0098414A" w:rsidP="0098414A">
      <w:pPr>
        <w:rPr>
          <w:u w:val="single"/>
          <w:lang w:val="nn-NO"/>
        </w:rPr>
      </w:pPr>
    </w:p>
    <w:p w:rsidR="0098414A" w:rsidRPr="00906E3B" w:rsidRDefault="0098414A" w:rsidP="0098414A">
      <w:pPr>
        <w:rPr>
          <w:lang w:val="nn-NO"/>
        </w:rPr>
      </w:pPr>
      <w:r w:rsidRPr="00906E3B">
        <w:rPr>
          <w:lang w:val="nn-NO"/>
        </w:rPr>
        <w:t>Dei fleste sakene gjeld diskriminering i arbeidslivet, følgt av saker om tilhøve som gjeld privat og offentleg vare- og tenesteyting og forskjellsbehandling i møte med offentleg forvalt</w:t>
      </w:r>
      <w:r>
        <w:rPr>
          <w:lang w:val="nn-NO"/>
        </w:rPr>
        <w:t>n</w:t>
      </w:r>
      <w:r w:rsidRPr="00906E3B">
        <w:rPr>
          <w:lang w:val="nn-NO"/>
        </w:rPr>
        <w:t>ing.</w:t>
      </w:r>
    </w:p>
    <w:p w:rsidR="0098414A" w:rsidRPr="00906E3B" w:rsidRDefault="0098414A" w:rsidP="0098414A">
      <w:pPr>
        <w:rPr>
          <w:u w:val="single"/>
          <w:lang w:val="nn-NO"/>
        </w:rPr>
      </w:pPr>
    </w:p>
    <w:p w:rsidR="0098414A" w:rsidRPr="00760641" w:rsidRDefault="0098414A" w:rsidP="006C5C63">
      <w:pPr>
        <w:pStyle w:val="Overskrift3"/>
        <w:rPr>
          <w:lang w:val="nb-NO"/>
        </w:rPr>
      </w:pPr>
      <w:bookmarkStart w:id="8" w:name="_Toc476060710"/>
      <w:r w:rsidRPr="00760641">
        <w:rPr>
          <w:lang w:val="nb-NO"/>
        </w:rPr>
        <w:t>Klagesaker</w:t>
      </w:r>
      <w:bookmarkEnd w:id="8"/>
    </w:p>
    <w:p w:rsidR="0098414A" w:rsidRPr="00872777" w:rsidRDefault="0098414A" w:rsidP="0098414A">
      <w:r w:rsidRPr="00A733D4">
        <w:t xml:space="preserve">I </w:t>
      </w:r>
      <w:r w:rsidRPr="006C25E3">
        <w:t>2016</w:t>
      </w:r>
      <w:r w:rsidRPr="00A733D4">
        <w:t xml:space="preserve"> registrerte vi </w:t>
      </w:r>
      <w:r w:rsidRPr="006C25E3">
        <w:t>175</w:t>
      </w:r>
      <w:r w:rsidRPr="00A733D4">
        <w:t xml:space="preserve"> </w:t>
      </w:r>
      <w:r w:rsidR="00DD7082">
        <w:t xml:space="preserve">nye </w:t>
      </w:r>
      <w:r w:rsidRPr="00A733D4">
        <w:t xml:space="preserve">klagesaker. Dette er ein </w:t>
      </w:r>
      <w:r w:rsidR="00DD7082">
        <w:t xml:space="preserve">svak </w:t>
      </w:r>
      <w:r w:rsidRPr="00A733D4">
        <w:t>nedgang frå 201</w:t>
      </w:r>
      <w:r>
        <w:t>5</w:t>
      </w:r>
      <w:r w:rsidRPr="00A733D4">
        <w:t xml:space="preserve">, da vi registrerte </w:t>
      </w:r>
      <w:r>
        <w:t>181</w:t>
      </w:r>
      <w:r w:rsidRPr="0067232A">
        <w:t xml:space="preserve"> klagesaker. Talet på klagesaker har variert noko d</w:t>
      </w:r>
      <w:r>
        <w:t>i</w:t>
      </w:r>
      <w:r w:rsidRPr="0067232A">
        <w:t xml:space="preserve">e forskjellige åra, med eit markert toppår </w:t>
      </w:r>
      <w:r>
        <w:t xml:space="preserve">i </w:t>
      </w:r>
      <w:r w:rsidRPr="0067232A">
        <w:t>2009 då diskriminerings- og tilgjengel</w:t>
      </w:r>
      <w:r>
        <w:t>ighetsloven</w:t>
      </w:r>
      <w:r w:rsidRPr="0067232A">
        <w:t xml:space="preserve"> trådde i kraft. </w:t>
      </w:r>
    </w:p>
    <w:p w:rsidR="0098414A" w:rsidRPr="00872777" w:rsidRDefault="0098414A" w:rsidP="0098414A">
      <w:pPr>
        <w:spacing w:before="0" w:after="0"/>
        <w:rPr>
          <w:u w:val="single"/>
        </w:rPr>
      </w:pPr>
      <w:r w:rsidRPr="00872777">
        <w:rPr>
          <w:u w:val="single"/>
        </w:rPr>
        <w:br w:type="page"/>
      </w:r>
    </w:p>
    <w:p w:rsidR="0098414A" w:rsidRPr="00F92135" w:rsidRDefault="0098414A" w:rsidP="0098414A">
      <w:pPr>
        <w:rPr>
          <w:u w:val="single"/>
          <w:lang w:val="nn-NO"/>
        </w:rPr>
      </w:pPr>
      <w:r w:rsidRPr="00F92135">
        <w:rPr>
          <w:u w:val="single"/>
          <w:lang w:val="nn-NO"/>
        </w:rPr>
        <w:lastRenderedPageBreak/>
        <w:t xml:space="preserve">Tabell 3: Klagesaker etter diskrimineringsgrunnlag </w:t>
      </w:r>
    </w:p>
    <w:p w:rsidR="0098414A" w:rsidRPr="00F92135" w:rsidRDefault="0098414A" w:rsidP="0098414A">
      <w:pPr>
        <w:rPr>
          <w:u w:val="single"/>
          <w:lang w:val="nn-NO"/>
        </w:rPr>
      </w:pPr>
    </w:p>
    <w:tbl>
      <w:tblPr>
        <w:tblStyle w:val="Tabellrutenett"/>
        <w:tblW w:w="0" w:type="auto"/>
        <w:tblLook w:val="04A0" w:firstRow="1" w:lastRow="0" w:firstColumn="1" w:lastColumn="0" w:noHBand="0" w:noVBand="1"/>
      </w:tblPr>
      <w:tblGrid>
        <w:gridCol w:w="4390"/>
        <w:gridCol w:w="2409"/>
        <w:gridCol w:w="2263"/>
      </w:tblGrid>
      <w:tr w:rsidR="0098414A" w:rsidRPr="00F92135" w:rsidTr="0052314F">
        <w:tc>
          <w:tcPr>
            <w:tcW w:w="4390" w:type="dxa"/>
          </w:tcPr>
          <w:p w:rsidR="0098414A" w:rsidRPr="00F92135" w:rsidRDefault="0098414A" w:rsidP="0052314F">
            <w:pPr>
              <w:rPr>
                <w:b/>
                <w:lang w:val="nn-NO"/>
              </w:rPr>
            </w:pPr>
            <w:r w:rsidRPr="00F92135">
              <w:rPr>
                <w:b/>
                <w:lang w:val="nn-NO"/>
              </w:rPr>
              <w:t>Diskrimineringsgrunnlag</w:t>
            </w:r>
          </w:p>
        </w:tc>
        <w:tc>
          <w:tcPr>
            <w:tcW w:w="2409" w:type="dxa"/>
          </w:tcPr>
          <w:p w:rsidR="0098414A" w:rsidRPr="00F92135" w:rsidRDefault="0098414A" w:rsidP="0052314F">
            <w:pPr>
              <w:rPr>
                <w:b/>
                <w:lang w:val="nn-NO"/>
              </w:rPr>
            </w:pPr>
            <w:r w:rsidRPr="00F92135">
              <w:rPr>
                <w:b/>
                <w:lang w:val="nn-NO"/>
              </w:rPr>
              <w:t>2016</w:t>
            </w:r>
          </w:p>
        </w:tc>
        <w:tc>
          <w:tcPr>
            <w:tcW w:w="2263" w:type="dxa"/>
          </w:tcPr>
          <w:p w:rsidR="0098414A" w:rsidRPr="00F92135" w:rsidRDefault="0098414A" w:rsidP="0052314F">
            <w:pPr>
              <w:rPr>
                <w:b/>
                <w:lang w:val="nn-NO"/>
              </w:rPr>
            </w:pPr>
            <w:r w:rsidRPr="00F92135">
              <w:rPr>
                <w:b/>
                <w:lang w:val="nn-NO"/>
              </w:rPr>
              <w:t xml:space="preserve">Del </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Alder</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15</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9%</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Anna</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23</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13%</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Etnisitet mv. (inkl</w:t>
            </w:r>
            <w:r>
              <w:rPr>
                <w:rFonts w:ascii="Calibri" w:hAnsi="Calibri"/>
                <w:color w:val="000000"/>
              </w:rPr>
              <w:t>.</w:t>
            </w:r>
            <w:r w:rsidRPr="006C25E3">
              <w:rPr>
                <w:rFonts w:ascii="Calibri" w:hAnsi="Calibri"/>
                <w:color w:val="000000"/>
              </w:rPr>
              <w:t xml:space="preserve"> språk)</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32</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18%</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Kjønn</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43</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25%</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Kjønnsidentitet og kjønnsuttrykk</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5</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3%</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Nedse</w:t>
            </w:r>
            <w:r w:rsidRPr="006C25E3">
              <w:rPr>
                <w:rFonts w:ascii="Calibri" w:hAnsi="Calibri"/>
                <w:color w:val="000000"/>
              </w:rPr>
              <w:t>tt funksjonsevne</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46</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26%</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Religion</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9</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5%</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Seksuell orientering</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2</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w:t>
            </w:r>
          </w:p>
        </w:tc>
      </w:tr>
      <w:tr w:rsidR="0098414A" w:rsidRPr="00F92135" w:rsidTr="0052314F">
        <w:tc>
          <w:tcPr>
            <w:tcW w:w="4390" w:type="dxa"/>
            <w:vAlign w:val="bottom"/>
          </w:tcPr>
          <w:p w:rsidR="0098414A" w:rsidRPr="006C25E3" w:rsidRDefault="0098414A" w:rsidP="0052314F">
            <w:pPr>
              <w:rPr>
                <w:rFonts w:ascii="Calibri" w:hAnsi="Calibri"/>
                <w:b/>
                <w:bCs/>
                <w:color w:val="000000"/>
              </w:rPr>
            </w:pPr>
            <w:r w:rsidRPr="006C25E3">
              <w:rPr>
                <w:rFonts w:ascii="Calibri" w:hAnsi="Calibri"/>
                <w:b/>
                <w:bCs/>
                <w:color w:val="000000"/>
              </w:rPr>
              <w:t>Total</w:t>
            </w:r>
          </w:p>
        </w:tc>
        <w:tc>
          <w:tcPr>
            <w:tcW w:w="2409" w:type="dxa"/>
            <w:vAlign w:val="bottom"/>
          </w:tcPr>
          <w:p w:rsidR="0098414A" w:rsidRPr="006C25E3" w:rsidRDefault="0098414A" w:rsidP="0052314F">
            <w:pPr>
              <w:jc w:val="right"/>
              <w:rPr>
                <w:rFonts w:ascii="Calibri" w:hAnsi="Calibri"/>
                <w:b/>
                <w:bCs/>
                <w:color w:val="000000"/>
              </w:rPr>
            </w:pPr>
            <w:r w:rsidRPr="006C25E3">
              <w:rPr>
                <w:rFonts w:ascii="Calibri" w:hAnsi="Calibri"/>
                <w:b/>
                <w:bCs/>
                <w:color w:val="000000"/>
              </w:rPr>
              <w:t>175</w:t>
            </w:r>
          </w:p>
        </w:tc>
        <w:tc>
          <w:tcPr>
            <w:tcW w:w="2263" w:type="dxa"/>
            <w:vAlign w:val="bottom"/>
          </w:tcPr>
          <w:p w:rsidR="0098414A" w:rsidRPr="006C25E3" w:rsidRDefault="0098414A" w:rsidP="0052314F">
            <w:pPr>
              <w:jc w:val="right"/>
              <w:rPr>
                <w:rFonts w:ascii="Calibri" w:hAnsi="Calibri"/>
                <w:b/>
                <w:bCs/>
                <w:color w:val="000000"/>
              </w:rPr>
            </w:pPr>
            <w:r w:rsidRPr="006C25E3">
              <w:rPr>
                <w:rFonts w:ascii="Calibri" w:hAnsi="Calibri"/>
                <w:b/>
                <w:bCs/>
                <w:color w:val="000000"/>
              </w:rPr>
              <w:t>100%</w:t>
            </w:r>
          </w:p>
        </w:tc>
      </w:tr>
    </w:tbl>
    <w:p w:rsidR="0098414A" w:rsidRPr="00F92135" w:rsidRDefault="0098414A" w:rsidP="0098414A">
      <w:pPr>
        <w:rPr>
          <w:lang w:val="nn-NO"/>
        </w:rPr>
      </w:pPr>
    </w:p>
    <w:p w:rsidR="0098414A" w:rsidRPr="00F92135" w:rsidRDefault="0098414A" w:rsidP="0098414A">
      <w:pPr>
        <w:rPr>
          <w:lang w:val="nn-NO"/>
        </w:rPr>
      </w:pPr>
      <w:r w:rsidRPr="00F92135">
        <w:rPr>
          <w:lang w:val="nn-NO"/>
        </w:rPr>
        <w:t>Dei fleste som klagar gjer det fordi dei opplever at dei er blitt forskjellsbehandla på grunn av si</w:t>
      </w:r>
      <w:r>
        <w:rPr>
          <w:lang w:val="nn-NO"/>
        </w:rPr>
        <w:t>n</w:t>
      </w:r>
      <w:r w:rsidRPr="00F92135">
        <w:rPr>
          <w:lang w:val="nn-NO"/>
        </w:rPr>
        <w:t xml:space="preserve"> nedsette funksjonsevne. Forskjellsbehandling på grunn av kjønn, er den andre hovudårsaka til at folk klagar. </w:t>
      </w:r>
    </w:p>
    <w:p w:rsidR="0098414A" w:rsidRPr="00F92135" w:rsidRDefault="0098414A" w:rsidP="0098414A">
      <w:pPr>
        <w:rPr>
          <w:lang w:val="nn-NO"/>
        </w:rPr>
      </w:pPr>
    </w:p>
    <w:p w:rsidR="0098414A" w:rsidRPr="00F92135" w:rsidRDefault="0098414A" w:rsidP="0098414A">
      <w:pPr>
        <w:rPr>
          <w:u w:val="single"/>
          <w:lang w:val="nn-NO"/>
        </w:rPr>
      </w:pPr>
      <w:r w:rsidRPr="00F92135">
        <w:rPr>
          <w:u w:val="single"/>
          <w:lang w:val="nn-NO"/>
        </w:rPr>
        <w:t>Tabell 4 Klagesak etter samfunnsområde</w:t>
      </w:r>
    </w:p>
    <w:p w:rsidR="0098414A" w:rsidRPr="00F92135" w:rsidRDefault="0098414A" w:rsidP="0098414A">
      <w:pPr>
        <w:rPr>
          <w:u w:val="single"/>
          <w:lang w:val="nn-NO"/>
        </w:rPr>
      </w:pPr>
    </w:p>
    <w:tbl>
      <w:tblPr>
        <w:tblStyle w:val="Tabellrutenett"/>
        <w:tblW w:w="0" w:type="auto"/>
        <w:tblLook w:val="04A0" w:firstRow="1" w:lastRow="0" w:firstColumn="1" w:lastColumn="0" w:noHBand="0" w:noVBand="1"/>
      </w:tblPr>
      <w:tblGrid>
        <w:gridCol w:w="4390"/>
        <w:gridCol w:w="2409"/>
        <w:gridCol w:w="2263"/>
      </w:tblGrid>
      <w:tr w:rsidR="0098414A" w:rsidRPr="00A733D4" w:rsidTr="0052314F">
        <w:tc>
          <w:tcPr>
            <w:tcW w:w="4390" w:type="dxa"/>
          </w:tcPr>
          <w:p w:rsidR="0098414A" w:rsidRPr="00A733D4" w:rsidRDefault="0098414A" w:rsidP="0052314F">
            <w:pPr>
              <w:rPr>
                <w:b/>
                <w:lang w:val="nn-NO"/>
              </w:rPr>
            </w:pPr>
            <w:r w:rsidRPr="00A733D4">
              <w:rPr>
                <w:b/>
                <w:lang w:val="nn-NO"/>
              </w:rPr>
              <w:t>Samfunnsområde</w:t>
            </w:r>
          </w:p>
        </w:tc>
        <w:tc>
          <w:tcPr>
            <w:tcW w:w="2409" w:type="dxa"/>
          </w:tcPr>
          <w:p w:rsidR="0098414A" w:rsidRPr="00A733D4" w:rsidRDefault="0098414A" w:rsidP="0052314F">
            <w:pPr>
              <w:rPr>
                <w:b/>
                <w:lang w:val="nn-NO"/>
              </w:rPr>
            </w:pPr>
            <w:r w:rsidRPr="006C25E3">
              <w:rPr>
                <w:b/>
                <w:lang w:val="nn-NO"/>
              </w:rPr>
              <w:t>201</w:t>
            </w:r>
            <w:r w:rsidRPr="00A733D4">
              <w:rPr>
                <w:b/>
                <w:lang w:val="nn-NO"/>
              </w:rPr>
              <w:t>6</w:t>
            </w:r>
          </w:p>
        </w:tc>
        <w:tc>
          <w:tcPr>
            <w:tcW w:w="2263" w:type="dxa"/>
          </w:tcPr>
          <w:p w:rsidR="0098414A" w:rsidRPr="00A733D4" w:rsidRDefault="0098414A" w:rsidP="0052314F">
            <w:pPr>
              <w:rPr>
                <w:lang w:val="nn-NO"/>
              </w:rPr>
            </w:pPr>
            <w:r w:rsidRPr="00A733D4">
              <w:rPr>
                <w:lang w:val="nn-NO"/>
              </w:rPr>
              <w:t xml:space="preserve">Del </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Anna</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9</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5%</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Arbeidsliv</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107</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61%</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Bustad</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3</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2%</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Offentle</w:t>
            </w:r>
            <w:r w:rsidRPr="006C25E3">
              <w:rPr>
                <w:rFonts w:ascii="Calibri" w:hAnsi="Calibri"/>
                <w:color w:val="000000"/>
              </w:rPr>
              <w:t>g forvaltning</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8</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5%</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Politi, retts</w:t>
            </w:r>
            <w:r>
              <w:rPr>
                <w:rFonts w:ascii="Calibri" w:hAnsi="Calibri"/>
                <w:color w:val="000000"/>
              </w:rPr>
              <w:t>apparat</w:t>
            </w:r>
            <w:r w:rsidRPr="006C25E3">
              <w:rPr>
                <w:rFonts w:ascii="Calibri" w:hAnsi="Calibri"/>
                <w:color w:val="000000"/>
              </w:rPr>
              <w:t xml:space="preserve"> mv.</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5</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3%</w:t>
            </w:r>
          </w:p>
        </w:tc>
      </w:tr>
      <w:tr w:rsidR="0098414A" w:rsidRPr="00A733D4" w:rsidTr="0052314F">
        <w:tc>
          <w:tcPr>
            <w:tcW w:w="4390" w:type="dxa"/>
            <w:vAlign w:val="bottom"/>
          </w:tcPr>
          <w:p w:rsidR="0098414A" w:rsidRPr="006C25E3" w:rsidRDefault="0098414A" w:rsidP="0052314F">
            <w:pPr>
              <w:rPr>
                <w:rFonts w:ascii="Calibri" w:hAnsi="Calibri"/>
                <w:color w:val="000000"/>
              </w:rPr>
            </w:pPr>
            <w:r w:rsidRPr="006C25E3">
              <w:rPr>
                <w:rFonts w:ascii="Calibri" w:hAnsi="Calibri"/>
                <w:color w:val="000000"/>
              </w:rPr>
              <w:t>Utdanning</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13</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7%</w:t>
            </w:r>
          </w:p>
        </w:tc>
      </w:tr>
      <w:tr w:rsidR="0098414A" w:rsidRPr="00A733D4" w:rsidTr="0052314F">
        <w:tc>
          <w:tcPr>
            <w:tcW w:w="4390" w:type="dxa"/>
            <w:vAlign w:val="bottom"/>
          </w:tcPr>
          <w:p w:rsidR="0098414A" w:rsidRPr="006C25E3" w:rsidRDefault="0098414A" w:rsidP="0052314F">
            <w:pPr>
              <w:rPr>
                <w:rFonts w:ascii="Calibri" w:hAnsi="Calibri"/>
                <w:color w:val="000000"/>
              </w:rPr>
            </w:pPr>
            <w:r>
              <w:rPr>
                <w:rFonts w:ascii="Calibri" w:hAnsi="Calibri"/>
                <w:color w:val="000000"/>
              </w:rPr>
              <w:t>Varer og t</w:t>
            </w:r>
            <w:r w:rsidRPr="006C25E3">
              <w:rPr>
                <w:rFonts w:ascii="Calibri" w:hAnsi="Calibri"/>
                <w:color w:val="000000"/>
              </w:rPr>
              <w:t>enester</w:t>
            </w:r>
          </w:p>
        </w:tc>
        <w:tc>
          <w:tcPr>
            <w:tcW w:w="2409"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30</w:t>
            </w:r>
          </w:p>
        </w:tc>
        <w:tc>
          <w:tcPr>
            <w:tcW w:w="2263" w:type="dxa"/>
            <w:vAlign w:val="bottom"/>
          </w:tcPr>
          <w:p w:rsidR="0098414A" w:rsidRPr="006C25E3" w:rsidRDefault="0098414A" w:rsidP="0052314F">
            <w:pPr>
              <w:jc w:val="right"/>
              <w:rPr>
                <w:rFonts w:ascii="Calibri" w:hAnsi="Calibri"/>
                <w:color w:val="000000"/>
              </w:rPr>
            </w:pPr>
            <w:r w:rsidRPr="006C25E3">
              <w:rPr>
                <w:rFonts w:ascii="Calibri" w:hAnsi="Calibri"/>
                <w:color w:val="000000"/>
              </w:rPr>
              <w:t>17%</w:t>
            </w:r>
          </w:p>
        </w:tc>
      </w:tr>
      <w:tr w:rsidR="0098414A" w:rsidRPr="00F92135" w:rsidTr="0052314F">
        <w:tc>
          <w:tcPr>
            <w:tcW w:w="4390" w:type="dxa"/>
            <w:vAlign w:val="bottom"/>
          </w:tcPr>
          <w:p w:rsidR="0098414A" w:rsidRPr="006C25E3" w:rsidRDefault="0098414A" w:rsidP="0052314F">
            <w:pPr>
              <w:rPr>
                <w:rFonts w:ascii="Calibri" w:hAnsi="Calibri"/>
                <w:b/>
                <w:bCs/>
                <w:color w:val="000000"/>
              </w:rPr>
            </w:pPr>
            <w:r w:rsidRPr="006C25E3">
              <w:rPr>
                <w:rFonts w:ascii="Calibri" w:hAnsi="Calibri"/>
                <w:b/>
                <w:bCs/>
                <w:color w:val="000000"/>
              </w:rPr>
              <w:t>Total</w:t>
            </w:r>
          </w:p>
        </w:tc>
        <w:tc>
          <w:tcPr>
            <w:tcW w:w="2409" w:type="dxa"/>
            <w:vAlign w:val="bottom"/>
          </w:tcPr>
          <w:p w:rsidR="0098414A" w:rsidRPr="006C25E3" w:rsidRDefault="0098414A" w:rsidP="0052314F">
            <w:pPr>
              <w:jc w:val="right"/>
              <w:rPr>
                <w:rFonts w:ascii="Calibri" w:hAnsi="Calibri"/>
                <w:b/>
                <w:bCs/>
                <w:color w:val="000000"/>
              </w:rPr>
            </w:pPr>
            <w:r w:rsidRPr="006C25E3">
              <w:rPr>
                <w:rFonts w:ascii="Calibri" w:hAnsi="Calibri"/>
                <w:b/>
                <w:bCs/>
                <w:color w:val="000000"/>
              </w:rPr>
              <w:t>175</w:t>
            </w:r>
          </w:p>
        </w:tc>
        <w:tc>
          <w:tcPr>
            <w:tcW w:w="2263" w:type="dxa"/>
            <w:vAlign w:val="bottom"/>
          </w:tcPr>
          <w:p w:rsidR="0098414A" w:rsidRPr="006C25E3" w:rsidRDefault="0098414A" w:rsidP="0052314F">
            <w:pPr>
              <w:jc w:val="right"/>
              <w:rPr>
                <w:rFonts w:ascii="Calibri" w:hAnsi="Calibri"/>
                <w:b/>
                <w:bCs/>
                <w:color w:val="000000"/>
              </w:rPr>
            </w:pPr>
            <w:r w:rsidRPr="006C25E3">
              <w:rPr>
                <w:rFonts w:ascii="Calibri" w:hAnsi="Calibri"/>
                <w:b/>
                <w:bCs/>
                <w:color w:val="000000"/>
              </w:rPr>
              <w:t>100%</w:t>
            </w:r>
          </w:p>
        </w:tc>
      </w:tr>
    </w:tbl>
    <w:p w:rsidR="0098414A" w:rsidRPr="00F92135" w:rsidRDefault="0098414A" w:rsidP="0098414A">
      <w:pPr>
        <w:rPr>
          <w:u w:val="single"/>
          <w:lang w:val="nn-NO"/>
        </w:rPr>
      </w:pPr>
    </w:p>
    <w:p w:rsidR="0098414A" w:rsidRDefault="0098414A" w:rsidP="0098414A">
      <w:pPr>
        <w:rPr>
          <w:lang w:val="nn-NO"/>
        </w:rPr>
      </w:pPr>
      <w:r w:rsidRPr="00A733D4">
        <w:rPr>
          <w:lang w:val="nn-NO"/>
        </w:rPr>
        <w:t>Tabell 4 viser at også dei fleste klagene gjeld området arbeidsliv.</w:t>
      </w:r>
      <w:r>
        <w:rPr>
          <w:lang w:val="nn-NO"/>
        </w:rPr>
        <w:t xml:space="preserve"> </w:t>
      </w:r>
    </w:p>
    <w:p w:rsidR="002A0738" w:rsidRDefault="002A0738" w:rsidP="0098414A">
      <w:pPr>
        <w:rPr>
          <w:lang w:val="nn-NO"/>
        </w:rPr>
      </w:pPr>
    </w:p>
    <w:p w:rsidR="0098414A" w:rsidRPr="0098414A" w:rsidRDefault="0098414A" w:rsidP="0098414A">
      <w:pPr>
        <w:rPr>
          <w:lang w:val="nn-NO"/>
        </w:rPr>
      </w:pPr>
      <w:r w:rsidRPr="00A733D4">
        <w:rPr>
          <w:lang w:val="nn-NO"/>
        </w:rPr>
        <w:t xml:space="preserve">Vi handsama ferdig </w:t>
      </w:r>
      <w:r w:rsidRPr="006C25E3">
        <w:rPr>
          <w:lang w:val="nn-NO"/>
        </w:rPr>
        <w:t>219 klagesaker i 2016</w:t>
      </w:r>
      <w:r>
        <w:rPr>
          <w:lang w:val="nn-NO"/>
        </w:rPr>
        <w:t xml:space="preserve">. </w:t>
      </w:r>
      <w:r w:rsidRPr="0098414A">
        <w:rPr>
          <w:lang w:val="nn-NO"/>
        </w:rPr>
        <w:t>10 av desse sakene avviste ombodet. 35 av sakene vart lagt bort</w:t>
      </w:r>
      <w:r w:rsidR="00DD7082">
        <w:rPr>
          <w:lang w:val="nn-NO"/>
        </w:rPr>
        <w:t>, se diskrimineringsombudsloven § 3 femte ledd.</w:t>
      </w:r>
      <w:r w:rsidR="00C22C57">
        <w:rPr>
          <w:lang w:val="nn-NO"/>
        </w:rPr>
        <w:t xml:space="preserve"> Ombodet benytta ikkje muligheitane til å fatte vedtak etter diskrimineringsombudsloven § 4 i 2016.</w:t>
      </w:r>
    </w:p>
    <w:p w:rsidR="0098414A" w:rsidRPr="0098414A" w:rsidRDefault="0098414A" w:rsidP="0098414A">
      <w:pPr>
        <w:rPr>
          <w:lang w:val="nn-NO"/>
        </w:rPr>
      </w:pPr>
    </w:p>
    <w:p w:rsidR="0098414A" w:rsidRPr="00F92135" w:rsidRDefault="0098414A" w:rsidP="0098414A">
      <w:pPr>
        <w:rPr>
          <w:lang w:val="nn-NO"/>
        </w:rPr>
      </w:pPr>
      <w:r>
        <w:rPr>
          <w:lang w:val="nn-NO"/>
        </w:rPr>
        <w:t>Ein del saker blir sendt</w:t>
      </w:r>
      <w:r w:rsidRPr="00A733D4">
        <w:rPr>
          <w:lang w:val="nn-NO"/>
        </w:rPr>
        <w:t xml:space="preserve"> til Likestillings- og diskrimineringsnemnda, fordi ein av partane er ueinige i utfallet</w:t>
      </w:r>
      <w:r w:rsidR="00A519E7">
        <w:rPr>
          <w:lang w:val="nn-NO"/>
        </w:rPr>
        <w:t xml:space="preserve"> hos ombodet</w:t>
      </w:r>
      <w:r w:rsidRPr="00A733D4">
        <w:rPr>
          <w:lang w:val="nn-NO"/>
        </w:rPr>
        <w:t>. Både dei som er part i ei sak</w:t>
      </w:r>
      <w:r w:rsidRPr="00F92135">
        <w:rPr>
          <w:lang w:val="nn-NO"/>
        </w:rPr>
        <w:t xml:space="preserve"> og ombodet, kan sende saker til nemnda. </w:t>
      </w:r>
    </w:p>
    <w:p w:rsidR="0098414A" w:rsidRDefault="0098414A" w:rsidP="0098414A">
      <w:pPr>
        <w:rPr>
          <w:sz w:val="22"/>
          <w:szCs w:val="22"/>
          <w:lang w:val="nn-NO"/>
        </w:rPr>
      </w:pPr>
      <w:r w:rsidRPr="00F92135">
        <w:rPr>
          <w:lang w:val="nn-NO"/>
        </w:rPr>
        <w:br/>
      </w:r>
      <w:r>
        <w:rPr>
          <w:lang w:val="nn-NO"/>
        </w:rPr>
        <w:t xml:space="preserve">Tabell 5 viser at 70 saker blei sendt til Likestillings- og diskrimineringsnemnda i 2016. Den markante aukinga i </w:t>
      </w:r>
      <w:r w:rsidR="00085D8D">
        <w:rPr>
          <w:lang w:val="nn-NO"/>
        </w:rPr>
        <w:t xml:space="preserve">saker til nemnda i </w:t>
      </w:r>
      <w:r>
        <w:rPr>
          <w:lang w:val="nn-NO"/>
        </w:rPr>
        <w:t xml:space="preserve">2015 har ikkje fortsatt. Saksmengda </w:t>
      </w:r>
      <w:r w:rsidR="00085D8D">
        <w:rPr>
          <w:lang w:val="nn-NO"/>
        </w:rPr>
        <w:t xml:space="preserve">til nemnda </w:t>
      </w:r>
      <w:r>
        <w:rPr>
          <w:lang w:val="nn-NO"/>
        </w:rPr>
        <w:t xml:space="preserve">er tilbake på nivået frå 2014 og tidlegare år. </w:t>
      </w:r>
    </w:p>
    <w:p w:rsidR="0098414A" w:rsidRDefault="0098414A" w:rsidP="0098414A">
      <w:pPr>
        <w:rPr>
          <w:lang w:val="nn-NO"/>
        </w:rPr>
      </w:pPr>
    </w:p>
    <w:p w:rsidR="0098414A" w:rsidRDefault="0098414A" w:rsidP="0098414A">
      <w:pPr>
        <w:rPr>
          <w:lang w:val="nn-NO"/>
        </w:rPr>
      </w:pPr>
      <w:r>
        <w:rPr>
          <w:lang w:val="nn-NO"/>
        </w:rPr>
        <w:t xml:space="preserve">Av dei 70 sakene blei 56 påklaga til nemnda av klagaren og 12 av den innklaga. To saker blei påklaga av begge partar. </w:t>
      </w:r>
    </w:p>
    <w:p w:rsidR="0098414A" w:rsidRDefault="0098414A" w:rsidP="0098414A">
      <w:pPr>
        <w:rPr>
          <w:lang w:val="nn-NO"/>
        </w:rPr>
      </w:pPr>
    </w:p>
    <w:p w:rsidR="0098414A" w:rsidRDefault="0098414A" w:rsidP="0098414A">
      <w:pPr>
        <w:rPr>
          <w:u w:val="single"/>
          <w:lang w:val="nn-NO"/>
        </w:rPr>
      </w:pPr>
      <w:r>
        <w:rPr>
          <w:u w:val="single"/>
          <w:lang w:val="nn-NO"/>
        </w:rPr>
        <w:t>Tabell 5 Saker klaga inn for Likestillings- og diskrimineringsnemnda, etter klagetype</w:t>
      </w:r>
    </w:p>
    <w:tbl>
      <w:tblPr>
        <w:tblW w:w="0" w:type="auto"/>
        <w:tblCellMar>
          <w:left w:w="0" w:type="dxa"/>
          <w:right w:w="0" w:type="dxa"/>
        </w:tblCellMar>
        <w:tblLook w:val="04A0" w:firstRow="1" w:lastRow="0" w:firstColumn="1" w:lastColumn="0" w:noHBand="0" w:noVBand="1"/>
      </w:tblPr>
      <w:tblGrid>
        <w:gridCol w:w="3018"/>
        <w:gridCol w:w="3017"/>
        <w:gridCol w:w="3017"/>
      </w:tblGrid>
      <w:tr w:rsidR="0098414A" w:rsidRPr="00B90670" w:rsidTr="002A0738">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 xml:space="preserve">Klaga inn av </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2015</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2016</w:t>
            </w:r>
          </w:p>
        </w:tc>
      </w:tr>
      <w:tr w:rsidR="0098414A" w:rsidRPr="00B90670" w:rsidTr="002A073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Innklaga</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30</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12</w:t>
            </w:r>
          </w:p>
        </w:tc>
      </w:tr>
      <w:tr w:rsidR="0098414A" w:rsidRPr="00B90670" w:rsidTr="002A073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Klagar</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57</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56</w:t>
            </w:r>
          </w:p>
        </w:tc>
      </w:tr>
      <w:tr w:rsidR="0098414A" w:rsidRPr="00B90670" w:rsidTr="002A073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Pr>
                <w:lang w:val="nn-NO"/>
              </w:rPr>
              <w:t>Begg</w:t>
            </w:r>
            <w:r w:rsidRPr="006C25E3">
              <w:rPr>
                <w:lang w:val="nn-NO"/>
              </w:rPr>
              <w:t>e</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2</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2</w:t>
            </w:r>
          </w:p>
        </w:tc>
      </w:tr>
      <w:tr w:rsidR="0098414A" w:rsidRPr="00B90670" w:rsidTr="002A073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LDO</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9</w:t>
            </w: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rsidR="0098414A" w:rsidRPr="006C25E3" w:rsidRDefault="0098414A" w:rsidP="0052314F">
            <w:pPr>
              <w:rPr>
                <w:lang w:val="nn-NO"/>
              </w:rPr>
            </w:pPr>
          </w:p>
        </w:tc>
      </w:tr>
      <w:tr w:rsidR="0098414A" w:rsidRPr="00B90670" w:rsidTr="002A073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Totalt</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98</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70</w:t>
            </w:r>
          </w:p>
        </w:tc>
      </w:tr>
    </w:tbl>
    <w:p w:rsidR="0098414A" w:rsidRPr="006C25E3" w:rsidRDefault="0098414A" w:rsidP="0098414A">
      <w:pPr>
        <w:rPr>
          <w:b/>
          <w:lang w:val="nn-NO"/>
        </w:rPr>
      </w:pPr>
    </w:p>
    <w:p w:rsidR="0098414A" w:rsidRDefault="0098414A" w:rsidP="0098414A">
      <w:pPr>
        <w:rPr>
          <w:sz w:val="22"/>
          <w:szCs w:val="22"/>
          <w:u w:val="single"/>
          <w:lang w:val="nn-NO"/>
        </w:rPr>
      </w:pPr>
      <w:r>
        <w:rPr>
          <w:u w:val="single"/>
          <w:lang w:val="nn-NO"/>
        </w:rPr>
        <w:t>Tabell 6 Resultat av saker etter behandling i nemnda i 2016</w:t>
      </w:r>
    </w:p>
    <w:tbl>
      <w:tblPr>
        <w:tblW w:w="0" w:type="auto"/>
        <w:tblCellMar>
          <w:left w:w="0" w:type="dxa"/>
          <w:right w:w="0" w:type="dxa"/>
        </w:tblCellMar>
        <w:tblLook w:val="04A0" w:firstRow="1" w:lastRow="0" w:firstColumn="1" w:lastColumn="0" w:noHBand="0" w:noVBand="1"/>
      </w:tblPr>
      <w:tblGrid>
        <w:gridCol w:w="4386"/>
        <w:gridCol w:w="1649"/>
        <w:gridCol w:w="3017"/>
      </w:tblGrid>
      <w:tr w:rsidR="0098414A" w:rsidRPr="00B90670" w:rsidTr="002A0738">
        <w:tc>
          <w:tcPr>
            <w:tcW w:w="4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Pr>
                <w:b/>
                <w:lang w:val="nn-NO"/>
              </w:rPr>
              <w:t>Resultat av behandling</w:t>
            </w:r>
            <w:r w:rsidRPr="006C25E3">
              <w:rPr>
                <w:b/>
                <w:lang w:val="nn-NO"/>
              </w:rPr>
              <w:t xml:space="preserve"> i nemnda </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2015</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2016</w:t>
            </w:r>
          </w:p>
        </w:tc>
      </w:tr>
      <w:tr w:rsidR="0098414A" w:rsidRPr="00B90670" w:rsidTr="002A0738">
        <w:tc>
          <w:tcPr>
            <w:tcW w:w="4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Delvis omgjorde</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2</w:t>
            </w:r>
          </w:p>
        </w:tc>
      </w:tr>
      <w:tr w:rsidR="0098414A" w:rsidRPr="00B90670" w:rsidTr="002A0738">
        <w:tc>
          <w:tcPr>
            <w:tcW w:w="4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Omgjorde</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24</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18</w:t>
            </w:r>
          </w:p>
        </w:tc>
      </w:tr>
      <w:tr w:rsidR="0098414A" w:rsidRPr="00B90670" w:rsidTr="002A0738">
        <w:tc>
          <w:tcPr>
            <w:tcW w:w="4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Oppretthalde</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27</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38</w:t>
            </w:r>
          </w:p>
        </w:tc>
      </w:tr>
      <w:tr w:rsidR="0098414A" w:rsidRPr="00B90670" w:rsidTr="002A0738">
        <w:tc>
          <w:tcPr>
            <w:tcW w:w="4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Anna</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lang w:val="nn-NO"/>
              </w:rPr>
            </w:pPr>
            <w:r w:rsidRPr="006C25E3">
              <w:rPr>
                <w:lang w:val="nn-NO"/>
              </w:rPr>
              <w:t>2</w:t>
            </w: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rsidR="0098414A" w:rsidRPr="006C25E3" w:rsidRDefault="0098414A" w:rsidP="0052314F">
            <w:pPr>
              <w:rPr>
                <w:lang w:val="nn-NO"/>
              </w:rPr>
            </w:pPr>
          </w:p>
        </w:tc>
      </w:tr>
      <w:tr w:rsidR="0098414A" w:rsidRPr="00B90670" w:rsidTr="002A0738">
        <w:tc>
          <w:tcPr>
            <w:tcW w:w="4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Totalt</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55</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414A" w:rsidRPr="006C25E3" w:rsidRDefault="0098414A" w:rsidP="0052314F">
            <w:pPr>
              <w:rPr>
                <w:b/>
                <w:lang w:val="nn-NO"/>
              </w:rPr>
            </w:pPr>
            <w:r w:rsidRPr="006C25E3">
              <w:rPr>
                <w:b/>
                <w:lang w:val="nn-NO"/>
              </w:rPr>
              <w:t>58</w:t>
            </w:r>
          </w:p>
        </w:tc>
      </w:tr>
    </w:tbl>
    <w:p w:rsidR="0098414A" w:rsidRDefault="0098414A" w:rsidP="0098414A">
      <w:pPr>
        <w:rPr>
          <w:rFonts w:ascii="Calibri" w:eastAsiaTheme="minorHAnsi" w:hAnsi="Calibri"/>
          <w:lang w:val="nn-NO" w:eastAsia="en-US"/>
        </w:rPr>
      </w:pPr>
    </w:p>
    <w:p w:rsidR="0098414A" w:rsidRDefault="0098414A" w:rsidP="0098414A">
      <w:pPr>
        <w:rPr>
          <w:sz w:val="22"/>
          <w:szCs w:val="22"/>
          <w:lang w:val="nn-NO"/>
        </w:rPr>
      </w:pPr>
      <w:r>
        <w:rPr>
          <w:lang w:val="nn-NO"/>
        </w:rPr>
        <w:t xml:space="preserve">Tabell 6 viser resultat i sakene som var i nemnda i 2016. Det er ikkje bare saker ombodet behandla i 2016. Mange av dei er frå tidlegare år. I 2015 kom nemnda til eit anna resultat i nær halvparten av dei sakene nemnda behandla. Det er eit høgt tal, og ei markant auke frå tidlegare år. I 2016 omgjorde nemnda ombudet sin konklusjon i 20 av de 58 sakene som ble behandla (34 prosent). Omgjeringsprosenten er såleis tilbake på nivået frå tidlegare år. </w:t>
      </w:r>
    </w:p>
    <w:p w:rsidR="002A0738" w:rsidRDefault="002A0738" w:rsidP="0098414A">
      <w:pPr>
        <w:rPr>
          <w:lang w:val="nn-NO"/>
        </w:rPr>
      </w:pPr>
    </w:p>
    <w:p w:rsidR="0098414A" w:rsidRPr="00F92135" w:rsidRDefault="0098414A" w:rsidP="0098414A">
      <w:pPr>
        <w:rPr>
          <w:lang w:val="nn-NO"/>
        </w:rPr>
      </w:pPr>
      <w:r>
        <w:rPr>
          <w:lang w:val="nn-NO"/>
        </w:rPr>
        <w:t>Av dei 18 sakene nemnda omgjorde i 2016 vart 70 % omgjorde til gunst for den parten som vart klaga inn for ombodet</w:t>
      </w:r>
      <w:r>
        <w:rPr>
          <w:rStyle w:val="Fotnotereferanse"/>
          <w:lang w:val="nn-NO"/>
        </w:rPr>
        <w:footnoteReference w:id="2"/>
      </w:r>
      <w:r>
        <w:rPr>
          <w:lang w:val="nn-NO"/>
        </w:rPr>
        <w:t>. 15 % av dei 18 sakene omgjorde nemnda til gunst for den som klaga saka inn for ombodet</w:t>
      </w:r>
      <w:r>
        <w:rPr>
          <w:rStyle w:val="Fotnotereferanse"/>
          <w:lang w:val="nn-NO"/>
        </w:rPr>
        <w:footnoteReference w:id="3"/>
      </w:r>
      <w:r>
        <w:rPr>
          <w:lang w:val="nn-NO"/>
        </w:rPr>
        <w:t xml:space="preserve">. </w:t>
      </w:r>
    </w:p>
    <w:p w:rsidR="002A0738" w:rsidRDefault="002A0738" w:rsidP="0098414A">
      <w:pPr>
        <w:rPr>
          <w:lang w:val="nn-NO"/>
        </w:rPr>
      </w:pPr>
    </w:p>
    <w:p w:rsidR="0098414A" w:rsidRPr="00F92135" w:rsidRDefault="0098414A" w:rsidP="0098414A">
      <w:pPr>
        <w:rPr>
          <w:lang w:val="nn-NO"/>
        </w:rPr>
      </w:pPr>
      <w:r>
        <w:rPr>
          <w:lang w:val="nn-NO"/>
        </w:rPr>
        <w:t>Ombodet arbeider fortlø</w:t>
      </w:r>
      <w:r w:rsidRPr="00F92135">
        <w:rPr>
          <w:lang w:val="nn-NO"/>
        </w:rPr>
        <w:t>pande med å a</w:t>
      </w:r>
      <w:r>
        <w:rPr>
          <w:lang w:val="nn-NO"/>
        </w:rPr>
        <w:t>nalysere sakene som bli behandla</w:t>
      </w:r>
      <w:r w:rsidRPr="00F92135">
        <w:rPr>
          <w:lang w:val="nn-NO"/>
        </w:rPr>
        <w:t xml:space="preserve"> i nemnda. Vi s</w:t>
      </w:r>
      <w:r>
        <w:rPr>
          <w:lang w:val="nn-NO"/>
        </w:rPr>
        <w:t>å behov</w:t>
      </w:r>
      <w:r w:rsidRPr="00F92135">
        <w:rPr>
          <w:lang w:val="nn-NO"/>
        </w:rPr>
        <w:t xml:space="preserve"> for å gjere ein sær</w:t>
      </w:r>
      <w:r>
        <w:rPr>
          <w:lang w:val="nn-NO"/>
        </w:rPr>
        <w:t>leg</w:t>
      </w:r>
      <w:r w:rsidRPr="00F92135">
        <w:rPr>
          <w:lang w:val="nn-NO"/>
        </w:rPr>
        <w:t xml:space="preserve"> grundig analy</w:t>
      </w:r>
      <w:r>
        <w:rPr>
          <w:lang w:val="nn-NO"/>
        </w:rPr>
        <w:t>se av sakene som nemnda behandla</w:t>
      </w:r>
      <w:r w:rsidRPr="00F92135">
        <w:rPr>
          <w:lang w:val="nn-NO"/>
        </w:rPr>
        <w:t xml:space="preserve"> i 2015, gitt dei endringane som skjedd</w:t>
      </w:r>
      <w:r>
        <w:rPr>
          <w:lang w:val="nn-NO"/>
        </w:rPr>
        <w:t>e i 2015</w:t>
      </w:r>
      <w:r w:rsidRPr="00F92135">
        <w:rPr>
          <w:lang w:val="nn-NO"/>
        </w:rPr>
        <w:t>. Det er viktig å vite om endringa skyldast særtrekk ved sakene, endra praksis hos ombodet eller i nemnda, eller andre omstende.</w:t>
      </w:r>
    </w:p>
    <w:p w:rsidR="0098414A" w:rsidRDefault="0098414A" w:rsidP="0098414A">
      <w:pPr>
        <w:rPr>
          <w:lang w:val="nn-NO"/>
        </w:rPr>
      </w:pPr>
    </w:p>
    <w:p w:rsidR="00173240" w:rsidRDefault="0098414A" w:rsidP="0098414A">
      <w:pPr>
        <w:rPr>
          <w:lang w:val="nn-NO"/>
        </w:rPr>
      </w:pPr>
      <w:r w:rsidRPr="006C25E3">
        <w:rPr>
          <w:lang w:val="nn-NO"/>
        </w:rPr>
        <w:t xml:space="preserve">Ombodet engasjerte derfor høgsterettsdommar Karin M. Bruzelius våren 2016 for å analysere 52 av nemnda sine avgjerder i perioden 2013-2015 der nemnda kom til eit anna resultat enn </w:t>
      </w:r>
      <w:r>
        <w:rPr>
          <w:lang w:val="nn-NO"/>
        </w:rPr>
        <w:t>ombodet. I same periode behandla</w:t>
      </w:r>
      <w:r w:rsidRPr="006C25E3">
        <w:rPr>
          <w:lang w:val="nn-NO"/>
        </w:rPr>
        <w:t xml:space="preserve"> nemnda totalt 162 saker og ombodet 667 klagesaker. Bakgrunnen for gjennomgangen var at i denne perioden auka talet på saker som vart påklaga og sendt til nemnda. Samstundes auka talet på saker som</w:t>
      </w:r>
      <w:r>
        <w:rPr>
          <w:lang w:val="nn-NO"/>
        </w:rPr>
        <w:t xml:space="preserve"> fekk eit anna resultat, </w:t>
      </w:r>
      <w:r w:rsidRPr="006C25E3">
        <w:rPr>
          <w:lang w:val="nn-NO"/>
        </w:rPr>
        <w:t>til nærmare 50</w:t>
      </w:r>
      <w:r>
        <w:rPr>
          <w:lang w:val="nn-NO"/>
        </w:rPr>
        <w:t xml:space="preserve"> prosent</w:t>
      </w:r>
      <w:r w:rsidRPr="006C25E3">
        <w:rPr>
          <w:lang w:val="nn-NO"/>
        </w:rPr>
        <w:t xml:space="preserve"> i 2015. Bruzelius sin gjennomgang viste at i dei fleste sakene der nemnda kom til </w:t>
      </w:r>
      <w:r>
        <w:rPr>
          <w:lang w:val="nn-NO"/>
        </w:rPr>
        <w:t xml:space="preserve">eit </w:t>
      </w:r>
      <w:r w:rsidRPr="006C25E3">
        <w:rPr>
          <w:lang w:val="nn-NO"/>
        </w:rPr>
        <w:t xml:space="preserve">anna resultat, var faktum i sakene endra, for eksempel at partane hadde lagt fram nye opplysningar. I nokre saker vurderte nemnda og ombodet </w:t>
      </w:r>
      <w:r>
        <w:rPr>
          <w:lang w:val="nn-NO"/>
        </w:rPr>
        <w:t xml:space="preserve">også </w:t>
      </w:r>
      <w:r w:rsidRPr="006C25E3">
        <w:rPr>
          <w:lang w:val="nn-NO"/>
        </w:rPr>
        <w:t>jussen forskjellig.</w:t>
      </w:r>
      <w:r w:rsidR="00DD7082">
        <w:rPr>
          <w:lang w:val="nn-NO"/>
        </w:rPr>
        <w:t xml:space="preserve"> </w:t>
      </w:r>
      <w:r w:rsidR="00173240">
        <w:rPr>
          <w:lang w:val="nn-NO"/>
        </w:rPr>
        <w:t>I motsetning til ombodet har nemnda anledning til å høyre partane</w:t>
      </w:r>
      <w:r w:rsidR="00FD7B4C">
        <w:rPr>
          <w:lang w:val="nn-NO"/>
        </w:rPr>
        <w:t>. Ombodet har skriftleg sakshandsaming. Derfor vil bevisa i nokre anlede synast ulik for nemnda.</w:t>
      </w:r>
    </w:p>
    <w:p w:rsidR="00173240" w:rsidRDefault="00173240" w:rsidP="0098414A">
      <w:pPr>
        <w:rPr>
          <w:lang w:val="nn-NO"/>
        </w:rPr>
      </w:pPr>
    </w:p>
    <w:p w:rsidR="0098414A" w:rsidRPr="006C25E3" w:rsidRDefault="00DD7082" w:rsidP="0098414A">
      <w:pPr>
        <w:rPr>
          <w:lang w:val="nn-NO"/>
        </w:rPr>
      </w:pPr>
      <w:r>
        <w:rPr>
          <w:lang w:val="nn-NO"/>
        </w:rPr>
        <w:t xml:space="preserve">Bruzelius kom med fleire </w:t>
      </w:r>
      <w:r w:rsidR="00173240">
        <w:rPr>
          <w:lang w:val="nn-NO"/>
        </w:rPr>
        <w:t>tilrådingar til ombodet sin sakshandsaming. Disse vil bli følgje opp av ombodet i 2017.</w:t>
      </w:r>
    </w:p>
    <w:p w:rsidR="0098414A" w:rsidRPr="00872777" w:rsidRDefault="0098414A" w:rsidP="0098414A">
      <w:pPr>
        <w:rPr>
          <w:b/>
          <w:lang w:val="nn-NO"/>
        </w:rPr>
      </w:pPr>
    </w:p>
    <w:p w:rsidR="0098414A" w:rsidRPr="00872777" w:rsidRDefault="0098414A" w:rsidP="006C5C63">
      <w:pPr>
        <w:pStyle w:val="Overskrift3"/>
      </w:pPr>
      <w:bookmarkStart w:id="9" w:name="_Toc476060711"/>
      <w:r w:rsidRPr="00872777">
        <w:t>Brukerundersøkelse</w:t>
      </w:r>
      <w:bookmarkEnd w:id="9"/>
      <w:r w:rsidRPr="00872777">
        <w:t xml:space="preserve"> </w:t>
      </w:r>
    </w:p>
    <w:p w:rsidR="0098414A" w:rsidRPr="00872777" w:rsidRDefault="0098414A" w:rsidP="0098414A">
      <w:pPr>
        <w:rPr>
          <w:lang w:val="nn-NO"/>
        </w:rPr>
      </w:pPr>
      <w:r w:rsidRPr="00872777">
        <w:rPr>
          <w:lang w:val="nn-NO"/>
        </w:rPr>
        <w:t xml:space="preserve">Likestillings- og diskrimineringsombodet har i 2016 kartlagt korleis brukarane opplever verksemda. Vi undersøkte kor fornøgd våre brukarer har vært med ulike sider av ombodet sin saksbehandling i klagesaker som er knytta til graviditet. Vi sendte undersøkinga til parter i 37 saker (76 deltakere). Vi mottok svar frå 20 personer som hadde sendt inn klage(r), og frå 21 som hadde blitt anklaga for diskriminering. Av disse var det 22 som hadde fått medhold i sine påstander og 17 som ikjke hadde fått medhold. To av sakene blei lagt bort. </w:t>
      </w:r>
    </w:p>
    <w:p w:rsidR="002A0738" w:rsidRDefault="002A0738" w:rsidP="0098414A">
      <w:pPr>
        <w:rPr>
          <w:lang w:val="nn-NO"/>
        </w:rPr>
      </w:pPr>
    </w:p>
    <w:p w:rsidR="0098414A" w:rsidRPr="00872777" w:rsidRDefault="0098414A" w:rsidP="0098414A">
      <w:pPr>
        <w:rPr>
          <w:lang w:val="nn-NO"/>
        </w:rPr>
      </w:pPr>
      <w:r w:rsidRPr="00872777">
        <w:rPr>
          <w:lang w:val="nn-NO"/>
        </w:rPr>
        <w:t xml:space="preserve">Resultatet viser at det er liten forskjell mellom opplevinga til klagarane og dei innklaga når det gjeld ombodet sin behandling totalt sett. Både klagar og innklaga gir uttrykk for at dei har tillit til ombodet og ombodet sin begrunnelse for resultatet i saka. Om brukarane var tilfreds </w:t>
      </w:r>
      <w:r w:rsidRPr="00872777">
        <w:rPr>
          <w:lang w:val="nn-NO"/>
        </w:rPr>
        <w:lastRenderedPageBreak/>
        <w:t xml:space="preserve">med ombodet sin saksbehandling, inkludert om dei opplevde ombodet som tillitvekkande med grunngitte avgjerder, blir tilsynelatande bestemt av om dei fekk medhald. Dei som fekk medhald i saka er mykje meir fornøgd med saksbehandlinga enn dei som ikkje fekk medhald. </w:t>
      </w:r>
    </w:p>
    <w:p w:rsidR="0098414A" w:rsidRPr="00872777" w:rsidRDefault="0098414A" w:rsidP="0098414A">
      <w:pPr>
        <w:rPr>
          <w:lang w:val="nn-NO"/>
        </w:rPr>
      </w:pPr>
      <w:r w:rsidRPr="00872777">
        <w:rPr>
          <w:lang w:val="nn-NO"/>
        </w:rPr>
        <w:t xml:space="preserve">Det er liten forskjell på opplevinga vinnarane og taparane har av informasjonen dei får. Derimot viser resultatet at klagar er noko meir fornøyd med informasjonen dei får, og i større grad gjer uttrykk for at det er lett å få kontakt med saksbehandlar. Dette er forståeleg da dei fleste klagesakane starter med at det blir gitt rettleiing, og svara skiller ikkje informasjonen brukarane har fått som rettleiing og under klagebehandling. Det kan tenkes at en større andel av klagarane var fornøgde med den informasjon dei fekk som rettleiing. </w:t>
      </w:r>
    </w:p>
    <w:p w:rsidR="002A0738" w:rsidRDefault="002A0738" w:rsidP="0098414A">
      <w:pPr>
        <w:rPr>
          <w:lang w:val="nn-NO"/>
        </w:rPr>
      </w:pPr>
    </w:p>
    <w:p w:rsidR="0098414A" w:rsidRPr="00872777" w:rsidRDefault="0098414A" w:rsidP="0098414A">
      <w:pPr>
        <w:rPr>
          <w:lang w:val="nn-NO"/>
        </w:rPr>
      </w:pPr>
      <w:r w:rsidRPr="00872777">
        <w:rPr>
          <w:lang w:val="nn-NO"/>
        </w:rPr>
        <w:t>Halvparten av respondentane var fornøgde med tida saksbehandlinga tok hos ombodet. Om dei tapte eller vant saka, synes å virke meir inn på brukaranes oppleving av saksbehandlingstida, enn faktisk saksbehandlingstid.</w:t>
      </w:r>
    </w:p>
    <w:p w:rsidR="002A0738" w:rsidRDefault="002A0738" w:rsidP="0098414A">
      <w:pPr>
        <w:rPr>
          <w:lang w:val="nn-NO"/>
        </w:rPr>
      </w:pPr>
    </w:p>
    <w:p w:rsidR="0098414A" w:rsidRPr="00872777" w:rsidRDefault="0098414A" w:rsidP="0098414A">
      <w:pPr>
        <w:rPr>
          <w:lang w:val="nn-NO"/>
        </w:rPr>
      </w:pPr>
      <w:r w:rsidRPr="00872777">
        <w:rPr>
          <w:lang w:val="nn-NO"/>
        </w:rPr>
        <w:t xml:space="preserve">På bakgrunn av kartlegginga har ombodet innført tiltak som kan forbedre tenesten. Ombodet har laga nye brevmalar, som skal sikre at partane så tidlig som mulig får tilstrekkeleg informasjon om ombodet sin saksgang og deira rettar/pliktar. Breva er meir informative, samtidig som dei er tydelegare, både når det gjeld saksbehandlinga ved ombodet, men også om korleis opplysningar ombodet trenger. Som vedlegg til første brev ut, følger informasjonsskriv om blant anna partanes opplysningsplikt, bevisreglar og konsekvensar av ombodet sin uttale. </w:t>
      </w:r>
    </w:p>
    <w:p w:rsidR="002A0738" w:rsidRDefault="002A0738" w:rsidP="0098414A">
      <w:pPr>
        <w:rPr>
          <w:lang w:val="nn-NO"/>
        </w:rPr>
      </w:pPr>
    </w:p>
    <w:p w:rsidR="0098414A" w:rsidRPr="00872777" w:rsidRDefault="0098414A" w:rsidP="0098414A">
      <w:pPr>
        <w:rPr>
          <w:lang w:val="nn-NO"/>
        </w:rPr>
      </w:pPr>
      <w:r w:rsidRPr="00872777">
        <w:rPr>
          <w:lang w:val="nn-NO"/>
        </w:rPr>
        <w:t>Tydelege og informative brev, og raskare tilbakemelding til partane, bidrar også til hurtigare opplysning av saka og kortare saksbehandlingstid. Ombodet har hatt fokus på å få ned saksbehandlingstida, som i 2016 har blitt betydelig redusert.</w:t>
      </w:r>
    </w:p>
    <w:p w:rsidR="0098414A" w:rsidRPr="0067232A" w:rsidRDefault="0098414A" w:rsidP="0098414A">
      <w:pPr>
        <w:rPr>
          <w:lang w:val="nn-NO"/>
        </w:rPr>
      </w:pPr>
    </w:p>
    <w:p w:rsidR="0098414A" w:rsidRPr="0067232A" w:rsidRDefault="0098414A" w:rsidP="006C5C63">
      <w:pPr>
        <w:pStyle w:val="Overskrift3"/>
      </w:pPr>
      <w:bookmarkStart w:id="10" w:name="_Toc476060712"/>
      <w:r w:rsidRPr="0067232A">
        <w:t>Låg terskel for å kontakt</w:t>
      </w:r>
      <w:r>
        <w:t>e</w:t>
      </w:r>
      <w:r w:rsidRPr="0067232A">
        <w:t xml:space="preserve"> ombodet</w:t>
      </w:r>
      <w:bookmarkEnd w:id="10"/>
      <w:r w:rsidRPr="0067232A">
        <w:t xml:space="preserve"> </w:t>
      </w:r>
    </w:p>
    <w:p w:rsidR="0098414A" w:rsidRDefault="0098414A" w:rsidP="0098414A">
      <w:pPr>
        <w:rPr>
          <w:lang w:val="nn-NO"/>
        </w:rPr>
      </w:pPr>
      <w:r w:rsidRPr="0067232A">
        <w:rPr>
          <w:lang w:val="nn-NO"/>
        </w:rPr>
        <w:t xml:space="preserve">For å hjelpe mange er det viktig å vere tilgjengeleg. Folk skal kunne ta kontakt med oss gjennom mange ulike kanalar. </w:t>
      </w:r>
      <w:r w:rsidRPr="00906E3B">
        <w:rPr>
          <w:lang w:val="nn-NO"/>
        </w:rPr>
        <w:t xml:space="preserve">Vi </w:t>
      </w:r>
      <w:r>
        <w:rPr>
          <w:lang w:val="nn-NO"/>
        </w:rPr>
        <w:t>gir</w:t>
      </w:r>
      <w:r w:rsidRPr="00906E3B">
        <w:rPr>
          <w:lang w:val="nn-NO"/>
        </w:rPr>
        <w:t xml:space="preserve"> rettleiing per brev, e</w:t>
      </w:r>
      <w:r>
        <w:rPr>
          <w:lang w:val="nn-NO"/>
        </w:rPr>
        <w:t>-</w:t>
      </w:r>
      <w:r w:rsidRPr="00906E3B">
        <w:rPr>
          <w:lang w:val="nn-NO"/>
        </w:rPr>
        <w:t>post, sms, telefon og i sosiale medi</w:t>
      </w:r>
      <w:r>
        <w:rPr>
          <w:lang w:val="nn-NO"/>
        </w:rPr>
        <w:t>um</w:t>
      </w:r>
      <w:r w:rsidRPr="00906E3B">
        <w:rPr>
          <w:lang w:val="nn-NO"/>
        </w:rPr>
        <w:t>. Det er òg mogleg å møte opp personleg.</w:t>
      </w:r>
    </w:p>
    <w:p w:rsidR="0098414A" w:rsidRDefault="0098414A" w:rsidP="0098414A">
      <w:pPr>
        <w:rPr>
          <w:lang w:val="nn-NO"/>
        </w:rPr>
      </w:pPr>
    </w:p>
    <w:p w:rsidR="0098414A" w:rsidRDefault="0098414A" w:rsidP="0098414A">
      <w:pPr>
        <w:rPr>
          <w:lang w:val="nn-NO"/>
        </w:rPr>
      </w:pPr>
      <w:r w:rsidRPr="00906E3B">
        <w:rPr>
          <w:lang w:val="nn-NO"/>
        </w:rPr>
        <w:t>For å senke terskelen for å komme i dialog med oss, satsar vi på arbeid med sosiale medium. LDO prioriterer Facebook og Twitter</w:t>
      </w:r>
      <w:r>
        <w:rPr>
          <w:lang w:val="nn-NO"/>
        </w:rPr>
        <w:t xml:space="preserve">. </w:t>
      </w:r>
      <w:r w:rsidRPr="00906E3B">
        <w:rPr>
          <w:lang w:val="nn-NO"/>
        </w:rPr>
        <w:t xml:space="preserve">Mange har spørsmål om </w:t>
      </w:r>
      <w:r>
        <w:rPr>
          <w:lang w:val="nn-NO"/>
        </w:rPr>
        <w:t>deira opplevingar</w:t>
      </w:r>
      <w:r w:rsidRPr="00906E3B">
        <w:rPr>
          <w:lang w:val="nn-NO"/>
        </w:rPr>
        <w:t xml:space="preserve"> er diskriminering, og korleis dei skal handtere det. Så langt det er mogleg svarar vi på spørsmåla vi får i sosiale medium, men dersom dialogen vert for kompleks eller personsensitiv, vel vi ein annan kommunikasjonskanal.</w:t>
      </w:r>
      <w:r>
        <w:rPr>
          <w:lang w:val="nn-NO"/>
        </w:rPr>
        <w:t xml:space="preserve"> </w:t>
      </w:r>
    </w:p>
    <w:p w:rsidR="0098414A" w:rsidRDefault="0098414A" w:rsidP="0098414A">
      <w:pPr>
        <w:rPr>
          <w:lang w:val="nn-NO"/>
        </w:rPr>
      </w:pPr>
    </w:p>
    <w:p w:rsidR="0098414A" w:rsidRPr="00906E3B" w:rsidRDefault="0098414A" w:rsidP="0098414A">
      <w:pPr>
        <w:rPr>
          <w:lang w:val="nn-NO"/>
        </w:rPr>
      </w:pPr>
      <w:r w:rsidRPr="00906E3B">
        <w:rPr>
          <w:lang w:val="nn-NO"/>
        </w:rPr>
        <w:t xml:space="preserve">I rettleiinga vår og dialogen med ulike grupper er nettsida viktig. I februar 2015 lanserte vi ein oppdatert versjon av www.ldo.no, der rettleiing er i fokus. Nettsida skal vere ein kanal </w:t>
      </w:r>
      <w:r>
        <w:rPr>
          <w:lang w:val="nn-NO"/>
        </w:rPr>
        <w:t xml:space="preserve">der vi gir rettleiing, og fortel </w:t>
      </w:r>
      <w:r w:rsidRPr="00906E3B">
        <w:rPr>
          <w:lang w:val="nn-NO"/>
        </w:rPr>
        <w:t>folk</w:t>
      </w:r>
      <w:r>
        <w:rPr>
          <w:lang w:val="nn-NO"/>
        </w:rPr>
        <w:t>, det vere seg enkeltpersonar, tillitsvalde og arbeidsgjevarar, om rettar</w:t>
      </w:r>
      <w:r w:rsidRPr="00906E3B">
        <w:rPr>
          <w:lang w:val="nn-NO"/>
        </w:rPr>
        <w:t xml:space="preserve"> og plikter. </w:t>
      </w:r>
    </w:p>
    <w:p w:rsidR="0098414A" w:rsidRPr="00906E3B" w:rsidRDefault="0098414A" w:rsidP="0098414A">
      <w:pPr>
        <w:rPr>
          <w:lang w:val="nn-NO"/>
        </w:rPr>
      </w:pPr>
    </w:p>
    <w:p w:rsidR="00FD7B4C" w:rsidRDefault="00FD7B4C" w:rsidP="006C5C63">
      <w:pPr>
        <w:pStyle w:val="Overskrift3"/>
      </w:pPr>
    </w:p>
    <w:p w:rsidR="00FD7B4C" w:rsidRDefault="00FD7B4C" w:rsidP="006C5C63">
      <w:pPr>
        <w:pStyle w:val="Overskrift3"/>
      </w:pPr>
    </w:p>
    <w:p w:rsidR="0098414A" w:rsidRPr="00906E3B" w:rsidRDefault="0098414A" w:rsidP="006C5C63">
      <w:pPr>
        <w:pStyle w:val="Overskrift3"/>
      </w:pPr>
      <w:bookmarkStart w:id="11" w:name="_Toc476060713"/>
      <w:r w:rsidRPr="00906E3B">
        <w:t>Betre og raskare hjelp</w:t>
      </w:r>
      <w:bookmarkEnd w:id="11"/>
    </w:p>
    <w:p w:rsidR="0098414A" w:rsidRDefault="0098414A" w:rsidP="0098414A">
      <w:pPr>
        <w:rPr>
          <w:lang w:val="nn-NO"/>
        </w:rPr>
      </w:pPr>
      <w:r>
        <w:rPr>
          <w:lang w:val="nn-NO"/>
        </w:rPr>
        <w:t xml:space="preserve">For å hjelpe dei som er </w:t>
      </w:r>
      <w:r w:rsidRPr="00906E3B">
        <w:rPr>
          <w:lang w:val="nn-NO"/>
        </w:rPr>
        <w:t>utsette for diskriminering, er vi opptatt av at dei raskt skal komme i dialog med oss. Personar som ringer oss, skal få svar same dag. Når det gjeld førespurnader p</w:t>
      </w:r>
      <w:r>
        <w:rPr>
          <w:lang w:val="nn-NO"/>
        </w:rPr>
        <w:t>å e-post, brev og i sosiale medium</w:t>
      </w:r>
      <w:r w:rsidRPr="00906E3B">
        <w:rPr>
          <w:lang w:val="nn-NO"/>
        </w:rPr>
        <w:t xml:space="preserve">, skal første svar </w:t>
      </w:r>
      <w:r>
        <w:rPr>
          <w:lang w:val="nn-NO"/>
        </w:rPr>
        <w:t>bli gitt</w:t>
      </w:r>
      <w:r w:rsidRPr="00906E3B">
        <w:rPr>
          <w:lang w:val="nn-NO"/>
        </w:rPr>
        <w:t xml:space="preserve"> så snart som mogleg, og seinast i løpet av ni dagar.</w:t>
      </w:r>
    </w:p>
    <w:p w:rsidR="0098414A" w:rsidRDefault="0098414A" w:rsidP="0098414A">
      <w:pPr>
        <w:rPr>
          <w:lang w:val="nn-NO"/>
        </w:rPr>
      </w:pPr>
    </w:p>
    <w:p w:rsidR="0098414A" w:rsidRDefault="0098414A" w:rsidP="0052314F">
      <w:pPr>
        <w:rPr>
          <w:u w:val="single"/>
          <w:lang w:val="nn-NO"/>
        </w:rPr>
      </w:pPr>
      <w:r w:rsidRPr="00906E3B">
        <w:rPr>
          <w:lang w:val="nn-NO"/>
        </w:rPr>
        <w:t xml:space="preserve">Vi </w:t>
      </w:r>
      <w:r>
        <w:rPr>
          <w:lang w:val="nn-NO"/>
        </w:rPr>
        <w:t xml:space="preserve">arbeidar </w:t>
      </w:r>
      <w:r w:rsidRPr="00906E3B">
        <w:rPr>
          <w:lang w:val="nn-NO"/>
        </w:rPr>
        <w:t xml:space="preserve">kontinuerleg </w:t>
      </w:r>
      <w:r>
        <w:rPr>
          <w:lang w:val="nn-NO"/>
        </w:rPr>
        <w:t xml:space="preserve">med å sikre rask </w:t>
      </w:r>
      <w:r w:rsidR="00812039">
        <w:rPr>
          <w:lang w:val="nn-NO"/>
        </w:rPr>
        <w:t>sakshandsamingstid</w:t>
      </w:r>
      <w:r w:rsidRPr="00906E3B">
        <w:rPr>
          <w:lang w:val="nn-NO"/>
        </w:rPr>
        <w:t>. Arbeidet har gitt resultat. Det</w:t>
      </w:r>
      <w:r>
        <w:rPr>
          <w:lang w:val="nn-NO"/>
        </w:rPr>
        <w:t xml:space="preserve"> var ei nedgang i </w:t>
      </w:r>
      <w:r w:rsidR="00812039">
        <w:rPr>
          <w:lang w:val="nn-NO"/>
        </w:rPr>
        <w:t>sakshandsamingstid</w:t>
      </w:r>
      <w:r w:rsidRPr="00906E3B">
        <w:rPr>
          <w:lang w:val="nn-NO"/>
        </w:rPr>
        <w:t xml:space="preserve"> i 2014, som fortsette i 2015, sjå tabell 7. Gjennomsnitt</w:t>
      </w:r>
      <w:r>
        <w:rPr>
          <w:lang w:val="nn-NO"/>
        </w:rPr>
        <w:t xml:space="preserve">leg </w:t>
      </w:r>
      <w:r w:rsidR="00812039">
        <w:rPr>
          <w:lang w:val="nn-NO"/>
        </w:rPr>
        <w:t>sakshandsamingstid</w:t>
      </w:r>
      <w:r w:rsidRPr="00906E3B">
        <w:rPr>
          <w:lang w:val="nn-NO"/>
        </w:rPr>
        <w:t xml:space="preserve"> for klagesaker </w:t>
      </w:r>
      <w:r w:rsidRPr="00F001B7">
        <w:rPr>
          <w:lang w:val="nn-NO"/>
        </w:rPr>
        <w:t xml:space="preserve">var </w:t>
      </w:r>
      <w:r w:rsidRPr="006C25E3">
        <w:rPr>
          <w:lang w:val="nn-NO"/>
        </w:rPr>
        <w:t>18</w:t>
      </w:r>
      <w:r w:rsidR="001A359F">
        <w:rPr>
          <w:lang w:val="nn-NO"/>
        </w:rPr>
        <w:t>6</w:t>
      </w:r>
      <w:r w:rsidRPr="006C25E3">
        <w:rPr>
          <w:lang w:val="nn-NO"/>
        </w:rPr>
        <w:t xml:space="preserve"> dagar i 2016</w:t>
      </w:r>
      <w:r w:rsidRPr="00F001B7">
        <w:rPr>
          <w:lang w:val="nn-NO"/>
        </w:rPr>
        <w:t xml:space="preserve">. </w:t>
      </w:r>
      <w:r w:rsidR="00812039">
        <w:rPr>
          <w:lang w:val="nn-NO"/>
        </w:rPr>
        <w:t xml:space="preserve">Ombodet handsama ferdig 113 av dei 175 klagesakene som vart motteke i 2016. Den gjennomsnittlige sakshandsamingstida for desse sakene var 113 dagar. Ei følgje av kortare sakshandsamingstid er at talet på klagesaker som ikkje er ferdig handsama har </w:t>
      </w:r>
      <w:r w:rsidR="00624766">
        <w:rPr>
          <w:lang w:val="nn-NO"/>
        </w:rPr>
        <w:t xml:space="preserve">vorte </w:t>
      </w:r>
      <w:r w:rsidR="00812039">
        <w:rPr>
          <w:lang w:val="nn-NO"/>
        </w:rPr>
        <w:t xml:space="preserve">jamt </w:t>
      </w:r>
      <w:r w:rsidR="00624766">
        <w:rPr>
          <w:lang w:val="nn-NO"/>
        </w:rPr>
        <w:t xml:space="preserve">lågare </w:t>
      </w:r>
      <w:r w:rsidR="00812039">
        <w:rPr>
          <w:lang w:val="nn-NO"/>
        </w:rPr>
        <w:t>dei siste åra. 1</w:t>
      </w:r>
      <w:r w:rsidR="001A359F">
        <w:rPr>
          <w:lang w:val="nn-NO"/>
        </w:rPr>
        <w:t> </w:t>
      </w:r>
      <w:r w:rsidR="00812039">
        <w:rPr>
          <w:lang w:val="nn-NO"/>
        </w:rPr>
        <w:t>januar 2014 hadde ombodet 146 ikkje ferdig handsama</w:t>
      </w:r>
      <w:r w:rsidR="00624766">
        <w:rPr>
          <w:lang w:val="nn-NO"/>
        </w:rPr>
        <w:t xml:space="preserve"> saker. Talet for 1 januar 2015 var 143, for 2016 107 medan talet for 1. januar 2017 var 64 klagesaker som ikkje var ferdig handsama.</w:t>
      </w:r>
    </w:p>
    <w:p w:rsidR="0052314F" w:rsidRDefault="0052314F" w:rsidP="0098414A">
      <w:pPr>
        <w:rPr>
          <w:u w:val="single"/>
          <w:lang w:val="nn-NO"/>
        </w:rPr>
      </w:pPr>
    </w:p>
    <w:p w:rsidR="0098414A" w:rsidRPr="00906E3B" w:rsidRDefault="0098414A" w:rsidP="0098414A">
      <w:pPr>
        <w:rPr>
          <w:u w:val="single"/>
          <w:lang w:val="nn-NO"/>
        </w:rPr>
      </w:pPr>
      <w:r w:rsidRPr="00906E3B">
        <w:rPr>
          <w:u w:val="single"/>
          <w:lang w:val="nn-NO"/>
        </w:rPr>
        <w:t>Tabell 7 Sakshandsamingstid for klagesaker de</w:t>
      </w:r>
      <w:r>
        <w:rPr>
          <w:u w:val="single"/>
          <w:lang w:val="nn-NO"/>
        </w:rPr>
        <w:t>i</w:t>
      </w:r>
      <w:r w:rsidRPr="00906E3B">
        <w:rPr>
          <w:u w:val="single"/>
          <w:lang w:val="nn-NO"/>
        </w:rPr>
        <w:t xml:space="preserve"> siste tre åra</w:t>
      </w:r>
    </w:p>
    <w:p w:rsidR="0098414A" w:rsidRPr="00906E3B" w:rsidRDefault="0098414A" w:rsidP="0098414A">
      <w:pPr>
        <w:rPr>
          <w:u w:val="single"/>
          <w:lang w:val="nn-NO"/>
        </w:rPr>
      </w:pPr>
    </w:p>
    <w:tbl>
      <w:tblPr>
        <w:tblStyle w:val="Tabellrutenett"/>
        <w:tblW w:w="0" w:type="auto"/>
        <w:tblLook w:val="04A0" w:firstRow="1" w:lastRow="0" w:firstColumn="1" w:lastColumn="0" w:noHBand="0" w:noVBand="1"/>
      </w:tblPr>
      <w:tblGrid>
        <w:gridCol w:w="2547"/>
        <w:gridCol w:w="4997"/>
      </w:tblGrid>
      <w:tr w:rsidR="0098414A" w:rsidRPr="00906E3B" w:rsidTr="00624766">
        <w:tc>
          <w:tcPr>
            <w:tcW w:w="2547" w:type="dxa"/>
          </w:tcPr>
          <w:p w:rsidR="0098414A" w:rsidRPr="00906E3B" w:rsidRDefault="0098414A" w:rsidP="0052314F">
            <w:pPr>
              <w:rPr>
                <w:b/>
                <w:lang w:val="nn-NO"/>
              </w:rPr>
            </w:pPr>
            <w:r w:rsidRPr="00906E3B">
              <w:rPr>
                <w:b/>
                <w:lang w:val="nn-NO"/>
              </w:rPr>
              <w:t>År</w:t>
            </w:r>
          </w:p>
        </w:tc>
        <w:tc>
          <w:tcPr>
            <w:tcW w:w="4997" w:type="dxa"/>
          </w:tcPr>
          <w:p w:rsidR="0098414A" w:rsidRPr="00906E3B" w:rsidRDefault="0098414A" w:rsidP="00624766">
            <w:pPr>
              <w:rPr>
                <w:b/>
                <w:lang w:val="nn-NO"/>
              </w:rPr>
            </w:pPr>
            <w:r>
              <w:rPr>
                <w:b/>
                <w:lang w:val="nn-NO"/>
              </w:rPr>
              <w:t xml:space="preserve">Gjennomsnitt av </w:t>
            </w:r>
            <w:r w:rsidR="00624766">
              <w:rPr>
                <w:b/>
                <w:lang w:val="nn-NO"/>
              </w:rPr>
              <w:t>sakshandsamingstid</w:t>
            </w:r>
            <w:r w:rsidRPr="00906E3B">
              <w:rPr>
                <w:b/>
                <w:lang w:val="nn-NO"/>
              </w:rPr>
              <w:t xml:space="preserve"> (dagar)</w:t>
            </w:r>
          </w:p>
        </w:tc>
      </w:tr>
      <w:tr w:rsidR="0098414A" w:rsidRPr="00F001B7" w:rsidTr="00624766">
        <w:tc>
          <w:tcPr>
            <w:tcW w:w="2547" w:type="dxa"/>
            <w:vAlign w:val="bottom"/>
          </w:tcPr>
          <w:p w:rsidR="0098414A" w:rsidRPr="006C25E3" w:rsidRDefault="0098414A" w:rsidP="0052314F">
            <w:pPr>
              <w:spacing w:before="0" w:after="0"/>
              <w:rPr>
                <w:rFonts w:ascii="Calibri" w:hAnsi="Calibri"/>
                <w:b/>
                <w:color w:val="000000"/>
                <w:sz w:val="22"/>
                <w:szCs w:val="22"/>
              </w:rPr>
            </w:pPr>
            <w:r w:rsidRPr="006C25E3">
              <w:rPr>
                <w:rFonts w:ascii="Calibri" w:hAnsi="Calibri"/>
                <w:b/>
                <w:color w:val="000000"/>
                <w:sz w:val="22"/>
                <w:szCs w:val="22"/>
              </w:rPr>
              <w:t>2014</w:t>
            </w:r>
          </w:p>
        </w:tc>
        <w:tc>
          <w:tcPr>
            <w:tcW w:w="4997" w:type="dxa"/>
            <w:vAlign w:val="bottom"/>
          </w:tcPr>
          <w:p w:rsidR="0098414A" w:rsidRPr="006C25E3" w:rsidRDefault="0098414A" w:rsidP="00812039">
            <w:pPr>
              <w:spacing w:before="0" w:after="0"/>
              <w:jc w:val="right"/>
              <w:rPr>
                <w:rFonts w:ascii="Calibri" w:hAnsi="Calibri"/>
                <w:color w:val="000000"/>
                <w:sz w:val="22"/>
                <w:szCs w:val="22"/>
              </w:rPr>
            </w:pPr>
            <w:r w:rsidRPr="006C25E3">
              <w:rPr>
                <w:rFonts w:ascii="Calibri" w:hAnsi="Calibri"/>
                <w:color w:val="000000"/>
                <w:sz w:val="22"/>
                <w:szCs w:val="22"/>
              </w:rPr>
              <w:t>284</w:t>
            </w:r>
          </w:p>
        </w:tc>
      </w:tr>
      <w:tr w:rsidR="0098414A" w:rsidRPr="00F001B7" w:rsidTr="00624766">
        <w:tc>
          <w:tcPr>
            <w:tcW w:w="2547" w:type="dxa"/>
            <w:vAlign w:val="bottom"/>
          </w:tcPr>
          <w:p w:rsidR="0098414A" w:rsidRPr="006C25E3" w:rsidRDefault="0098414A" w:rsidP="0052314F">
            <w:pPr>
              <w:spacing w:before="0" w:after="0"/>
              <w:rPr>
                <w:rFonts w:ascii="Calibri" w:hAnsi="Calibri"/>
                <w:b/>
                <w:color w:val="000000"/>
                <w:sz w:val="22"/>
                <w:szCs w:val="22"/>
              </w:rPr>
            </w:pPr>
            <w:r w:rsidRPr="006C25E3">
              <w:rPr>
                <w:rFonts w:ascii="Calibri" w:hAnsi="Calibri"/>
                <w:b/>
                <w:color w:val="000000"/>
                <w:sz w:val="22"/>
                <w:szCs w:val="22"/>
              </w:rPr>
              <w:t>2015</w:t>
            </w:r>
          </w:p>
        </w:tc>
        <w:tc>
          <w:tcPr>
            <w:tcW w:w="4997" w:type="dxa"/>
            <w:vAlign w:val="bottom"/>
          </w:tcPr>
          <w:p w:rsidR="0098414A" w:rsidRPr="006C25E3" w:rsidRDefault="0098414A" w:rsidP="00812039">
            <w:pPr>
              <w:spacing w:before="0" w:after="0"/>
              <w:jc w:val="right"/>
              <w:rPr>
                <w:rFonts w:ascii="Calibri" w:hAnsi="Calibri"/>
                <w:color w:val="000000"/>
                <w:sz w:val="22"/>
                <w:szCs w:val="22"/>
              </w:rPr>
            </w:pPr>
            <w:r w:rsidRPr="006C25E3">
              <w:rPr>
                <w:rFonts w:ascii="Calibri" w:hAnsi="Calibri"/>
                <w:color w:val="000000"/>
                <w:sz w:val="22"/>
                <w:szCs w:val="22"/>
              </w:rPr>
              <w:t>245</w:t>
            </w:r>
          </w:p>
        </w:tc>
      </w:tr>
      <w:tr w:rsidR="0098414A" w:rsidRPr="00F001B7" w:rsidTr="00624766">
        <w:tc>
          <w:tcPr>
            <w:tcW w:w="2547" w:type="dxa"/>
            <w:vAlign w:val="bottom"/>
          </w:tcPr>
          <w:p w:rsidR="0098414A" w:rsidRPr="006C25E3" w:rsidRDefault="0098414A" w:rsidP="0052314F">
            <w:pPr>
              <w:spacing w:before="0" w:after="0"/>
              <w:rPr>
                <w:rFonts w:ascii="Calibri" w:hAnsi="Calibri"/>
                <w:b/>
                <w:color w:val="000000"/>
                <w:sz w:val="22"/>
                <w:szCs w:val="22"/>
              </w:rPr>
            </w:pPr>
            <w:r w:rsidRPr="006C25E3">
              <w:rPr>
                <w:rFonts w:ascii="Calibri" w:hAnsi="Calibri"/>
                <w:b/>
                <w:color w:val="000000"/>
                <w:sz w:val="22"/>
                <w:szCs w:val="22"/>
              </w:rPr>
              <w:t>2016</w:t>
            </w:r>
          </w:p>
        </w:tc>
        <w:tc>
          <w:tcPr>
            <w:tcW w:w="4997" w:type="dxa"/>
            <w:vAlign w:val="bottom"/>
          </w:tcPr>
          <w:p w:rsidR="0098414A" w:rsidRPr="006C25E3" w:rsidRDefault="0098414A" w:rsidP="001A359F">
            <w:pPr>
              <w:spacing w:before="0" w:after="0"/>
              <w:jc w:val="right"/>
              <w:rPr>
                <w:rFonts w:ascii="Calibri" w:hAnsi="Calibri"/>
                <w:color w:val="000000"/>
                <w:sz w:val="22"/>
                <w:szCs w:val="22"/>
              </w:rPr>
            </w:pPr>
            <w:r w:rsidRPr="006C25E3">
              <w:rPr>
                <w:rFonts w:ascii="Calibri" w:hAnsi="Calibri"/>
                <w:color w:val="000000"/>
                <w:sz w:val="22"/>
                <w:szCs w:val="22"/>
              </w:rPr>
              <w:t>18</w:t>
            </w:r>
            <w:r w:rsidR="001A359F">
              <w:rPr>
                <w:rFonts w:ascii="Calibri" w:hAnsi="Calibri"/>
                <w:color w:val="000000"/>
                <w:sz w:val="22"/>
                <w:szCs w:val="22"/>
              </w:rPr>
              <w:t>6</w:t>
            </w:r>
          </w:p>
        </w:tc>
      </w:tr>
    </w:tbl>
    <w:p w:rsidR="0098414A" w:rsidRDefault="0098414A" w:rsidP="0098414A">
      <w:pPr>
        <w:rPr>
          <w:lang w:val="nn-NO"/>
        </w:rPr>
      </w:pPr>
      <w:r w:rsidRPr="00906E3B">
        <w:rPr>
          <w:lang w:val="nn-NO"/>
        </w:rPr>
        <w:t xml:space="preserve"> </w:t>
      </w:r>
    </w:p>
    <w:p w:rsidR="0098414A" w:rsidRPr="00F001B7" w:rsidRDefault="0098414A" w:rsidP="0098414A">
      <w:r w:rsidRPr="00872777">
        <w:rPr>
          <w:lang w:val="nn-NO"/>
        </w:rPr>
        <w:t xml:space="preserve">Vi har fortsatt vårt arbeid med å redusere </w:t>
      </w:r>
      <w:r w:rsidR="00624766">
        <w:rPr>
          <w:lang w:val="nn-NO"/>
        </w:rPr>
        <w:t>sakshandsamingstid</w:t>
      </w:r>
      <w:r w:rsidRPr="00872777">
        <w:rPr>
          <w:lang w:val="nn-NO"/>
        </w:rPr>
        <w:t xml:space="preserve"> på rettleiingssaker. Av dei 1870 rettleiingssakene som er registrert i 2016, er 1692 </w:t>
      </w:r>
      <w:r w:rsidR="00812039" w:rsidRPr="00872777">
        <w:rPr>
          <w:lang w:val="nn-NO"/>
        </w:rPr>
        <w:t>avslutta</w:t>
      </w:r>
      <w:r w:rsidRPr="00872777">
        <w:rPr>
          <w:lang w:val="nn-NO"/>
        </w:rPr>
        <w:t xml:space="preserve"> i løpet av 2016. </w:t>
      </w:r>
      <w:r w:rsidRPr="00760641">
        <w:t>Gjennomsnittleg</w:t>
      </w:r>
      <w:r>
        <w:t xml:space="preserve"> </w:t>
      </w:r>
      <w:r w:rsidR="00624766">
        <w:t>handsamingstid</w:t>
      </w:r>
      <w:r>
        <w:t xml:space="preserve"> for sake</w:t>
      </w:r>
      <w:r w:rsidRPr="00F001B7">
        <w:t xml:space="preserve">ne som er avsluttet er </w:t>
      </w:r>
      <w:r w:rsidRPr="006C25E3">
        <w:t>13</w:t>
      </w:r>
      <w:r>
        <w:t xml:space="preserve"> dager, en nedgang frå</w:t>
      </w:r>
      <w:r w:rsidRPr="00F001B7">
        <w:t xml:space="preserve"> 25 dager i 2012, 21 dager i 2013 og 15 dager i 2014.</w:t>
      </w:r>
    </w:p>
    <w:p w:rsidR="0098414A" w:rsidRPr="00BD6ED5" w:rsidRDefault="0098414A" w:rsidP="0098414A"/>
    <w:p w:rsidR="0098414A" w:rsidRPr="00760641" w:rsidRDefault="0098414A" w:rsidP="006C5C63">
      <w:pPr>
        <w:pStyle w:val="Overskrift3"/>
        <w:rPr>
          <w:lang w:val="nb-NO"/>
        </w:rPr>
      </w:pPr>
      <w:bookmarkStart w:id="12" w:name="_Toc476060714"/>
      <w:r w:rsidRPr="00760641">
        <w:rPr>
          <w:lang w:val="nb-NO"/>
        </w:rPr>
        <w:t>Prinsipielt viktige saker</w:t>
      </w:r>
      <w:bookmarkEnd w:id="12"/>
    </w:p>
    <w:p w:rsidR="00846299" w:rsidRDefault="0098414A" w:rsidP="0098414A">
      <w:pPr>
        <w:rPr>
          <w:lang w:val="nn-NO"/>
        </w:rPr>
      </w:pPr>
      <w:r w:rsidRPr="00F92135">
        <w:t xml:space="preserve">For å hjelpe mange er det viktig for ombodet å bruke dei sakene vi får inn til å endre diskriminerande strukturar. </w:t>
      </w:r>
      <w:r>
        <w:rPr>
          <w:lang w:val="nn-NO"/>
        </w:rPr>
        <w:t>Sjølv om det ofte er enkelt</w:t>
      </w:r>
      <w:r w:rsidRPr="00F92135">
        <w:rPr>
          <w:lang w:val="nn-NO"/>
        </w:rPr>
        <w:t>personar som tek kontakt med oss, er årsakene ofte strukturelle problem som rammar mange. Det kan til dømes vere eit diskriminerande regelverk, ein praksis som set nokon i ein dårlegare posisjon enn andre, eller nye datasystem</w:t>
      </w:r>
      <w:r w:rsidR="00846299">
        <w:rPr>
          <w:lang w:val="nn-NO"/>
        </w:rPr>
        <w:t xml:space="preserve"> nokre grupper ikkje kan bruke.</w:t>
      </w:r>
    </w:p>
    <w:p w:rsidR="00846299" w:rsidRDefault="00846299" w:rsidP="0098414A">
      <w:pPr>
        <w:rPr>
          <w:lang w:val="nn-NO"/>
        </w:rPr>
      </w:pPr>
    </w:p>
    <w:p w:rsidR="0098414A" w:rsidRPr="00F92135" w:rsidRDefault="0098414A" w:rsidP="0098414A">
      <w:pPr>
        <w:rPr>
          <w:lang w:val="nn-NO"/>
        </w:rPr>
      </w:pPr>
      <w:r w:rsidRPr="00F92135">
        <w:rPr>
          <w:lang w:val="nn-NO"/>
        </w:rPr>
        <w:t>Det er fleire årsaker til at det er viktig for oss å jobbe med prinsipp</w:t>
      </w:r>
      <w:r>
        <w:rPr>
          <w:lang w:val="nn-NO"/>
        </w:rPr>
        <w:t xml:space="preserve">ielle </w:t>
      </w:r>
      <w:r w:rsidRPr="00F92135">
        <w:rPr>
          <w:lang w:val="nn-NO"/>
        </w:rPr>
        <w:t>saker. Dei sett standarden for andre saker, dei bidreg til å endre rammevilkåra som fører til diskriminering, og dei kan bidra til å løfte opp problemområde til debatt, som igjen kan auka engasjement og forståing.</w:t>
      </w:r>
    </w:p>
    <w:p w:rsidR="0098414A" w:rsidRDefault="0098414A" w:rsidP="0098414A">
      <w:pPr>
        <w:rPr>
          <w:lang w:val="nn-NO"/>
        </w:rPr>
      </w:pPr>
    </w:p>
    <w:p w:rsidR="0098414A" w:rsidRDefault="0098414A" w:rsidP="0098414A">
      <w:pPr>
        <w:rPr>
          <w:lang w:val="nn-NO"/>
        </w:rPr>
      </w:pPr>
      <w:r w:rsidRPr="00F92135">
        <w:rPr>
          <w:lang w:val="nn-NO"/>
        </w:rPr>
        <w:lastRenderedPageBreak/>
        <w:t>Ombodet handsama fleire prinsipielt viktige saker i 201</w:t>
      </w:r>
      <w:r>
        <w:rPr>
          <w:lang w:val="nn-NO"/>
        </w:rPr>
        <w:t>6</w:t>
      </w:r>
      <w:r w:rsidRPr="00F92135">
        <w:rPr>
          <w:lang w:val="nn-NO"/>
        </w:rPr>
        <w:t xml:space="preserve">. Eit eksempel er ei klage mot </w:t>
      </w:r>
      <w:r>
        <w:rPr>
          <w:lang w:val="nn-NO"/>
        </w:rPr>
        <w:t xml:space="preserve">Oslo kommune som gjaldt pensjonsordninga for dei kommunalt tilsette. Pensjonsvedtektene </w:t>
      </w:r>
      <w:r w:rsidR="00FD7B4C">
        <w:rPr>
          <w:lang w:val="nn-NO"/>
        </w:rPr>
        <w:t>er</w:t>
      </w:r>
      <w:r>
        <w:rPr>
          <w:lang w:val="nn-NO"/>
        </w:rPr>
        <w:t xml:space="preserve"> utforma slik at tilsette som jobbar deltid fast, ikkje får pensjonsopptening for meirarbeid. Sidan det er fleire kvinner enn menn som jobbar deltid, kom ombodet til at ordninga var indirekte diskriminerande overfor kvinner. Kommunen klagde på ombodet sin uttale, og saka skal no opp for Likestillings- og diskrimineringsnemnda.</w:t>
      </w:r>
    </w:p>
    <w:p w:rsidR="0098414A" w:rsidRDefault="0098414A" w:rsidP="0098414A">
      <w:pPr>
        <w:rPr>
          <w:lang w:val="nn-NO"/>
        </w:rPr>
      </w:pPr>
    </w:p>
    <w:p w:rsidR="0098414A" w:rsidRDefault="0098414A" w:rsidP="0098414A">
      <w:pPr>
        <w:rPr>
          <w:lang w:val="nn-NO"/>
        </w:rPr>
      </w:pPr>
      <w:r>
        <w:rPr>
          <w:lang w:val="nn-NO"/>
        </w:rPr>
        <w:t>Ei anna viktig klagesak gjaldt rett til å få laga nytt vitnemål med nye identitetsopplysningar etter endring av juridisk kjønn og folkeregistrert navn. Ein tidlegare elev ved ein folkehøgskole endra juridisk kjønn frå kvinne til mann og skifta i tillegg fornamn. Han ønska å få endra vitnemålet frå folkehøgskolen, men fekk avslag. Han klaga til ombodet som tok kontakt med skulen. Etter dette endra skulen sine rutiner og ga eleven nytt vitnemål. Ombodet merka seg dette, men på grunn av det prinsipielt viktige spørsmålet saka gjaldt, kom ombodet likevel med ei fråsegn der ombodet slo fast at å nekte å gje nytt vitnemål etter endring av namn og juridisk kjønn er diskriminering på grunn av kjønnsidentitet.</w:t>
      </w:r>
    </w:p>
    <w:p w:rsidR="0098414A" w:rsidRDefault="0098414A" w:rsidP="0098414A">
      <w:pPr>
        <w:rPr>
          <w:lang w:val="nn-NO"/>
        </w:rPr>
      </w:pPr>
    </w:p>
    <w:p w:rsidR="0098414A" w:rsidRDefault="0098414A" w:rsidP="0098414A">
      <w:pPr>
        <w:rPr>
          <w:lang w:val="nn-NO"/>
        </w:rPr>
      </w:pPr>
      <w:r w:rsidRPr="00A25EDF">
        <w:rPr>
          <w:lang w:val="nn-NO"/>
        </w:rPr>
        <w:t>I samband med denne saka tok ombodet også kontakt med BLD. I brev av 30. september 2016 til ombodet skriv BLD at departementet meiner at elevar har krav på nye vitnemål for skolar som er omfatta av opplæringslova, lov om folkehø</w:t>
      </w:r>
      <w:r>
        <w:rPr>
          <w:lang w:val="nn-NO"/>
        </w:rPr>
        <w:t>g</w:t>
      </w:r>
      <w:r w:rsidRPr="00A25EDF">
        <w:rPr>
          <w:lang w:val="nn-NO"/>
        </w:rPr>
        <w:t>skol</w:t>
      </w:r>
      <w:r>
        <w:rPr>
          <w:lang w:val="nn-NO"/>
        </w:rPr>
        <w:t>a</w:t>
      </w:r>
      <w:r w:rsidRPr="00A25EDF">
        <w:rPr>
          <w:lang w:val="nn-NO"/>
        </w:rPr>
        <w:t>r og universitets- og hø</w:t>
      </w:r>
      <w:r>
        <w:rPr>
          <w:lang w:val="nn-NO"/>
        </w:rPr>
        <w:t>g</w:t>
      </w:r>
      <w:r w:rsidRPr="00A25EDF">
        <w:rPr>
          <w:lang w:val="nn-NO"/>
        </w:rPr>
        <w:t>skolelov</w:t>
      </w:r>
      <w:r>
        <w:rPr>
          <w:lang w:val="nn-NO"/>
        </w:rPr>
        <w:t>a</w:t>
      </w:r>
      <w:r w:rsidRPr="00A25EDF">
        <w:rPr>
          <w:lang w:val="nn-NO"/>
        </w:rPr>
        <w:t xml:space="preserve">. Departementet understreka samstundes at retten til nytt vitnemål ikkje går klart fram av lovverket. Departementet skrev at følgjande skal gjerast for å presisere retten til å få nytt vitnemål som er i samsvar med kjønnsidentiteten: </w:t>
      </w:r>
    </w:p>
    <w:p w:rsidR="00846299" w:rsidRPr="00A25EDF" w:rsidRDefault="00846299" w:rsidP="0098414A">
      <w:pPr>
        <w:rPr>
          <w:lang w:val="nn-NO"/>
        </w:rPr>
      </w:pPr>
    </w:p>
    <w:p w:rsidR="0098414A" w:rsidRPr="00A25EDF" w:rsidRDefault="0098414A" w:rsidP="0098414A">
      <w:pPr>
        <w:pStyle w:val="Listeavsnitt"/>
        <w:numPr>
          <w:ilvl w:val="0"/>
          <w:numId w:val="13"/>
        </w:numPr>
        <w:contextualSpacing w:val="0"/>
        <w:rPr>
          <w:lang w:val="nn-NO"/>
        </w:rPr>
      </w:pPr>
      <w:r w:rsidRPr="00A25EDF">
        <w:rPr>
          <w:lang w:val="nn-NO"/>
        </w:rPr>
        <w:t xml:space="preserve">Kunnskapsdepartementet vil be Utdanningsdirektoratet ved </w:t>
      </w:r>
      <w:r>
        <w:rPr>
          <w:lang w:val="nn-NO"/>
        </w:rPr>
        <w:t>fylkesmannsembetene om å rettlei</w:t>
      </w:r>
      <w:r w:rsidRPr="00A25EDF">
        <w:rPr>
          <w:lang w:val="nn-NO"/>
        </w:rPr>
        <w:t xml:space="preserve">e skolar og skoleeigarar om rettigheten. </w:t>
      </w:r>
    </w:p>
    <w:p w:rsidR="0098414A" w:rsidRPr="00A25EDF" w:rsidRDefault="0098414A" w:rsidP="0098414A">
      <w:pPr>
        <w:pStyle w:val="Listeavsnitt"/>
        <w:numPr>
          <w:ilvl w:val="0"/>
          <w:numId w:val="13"/>
        </w:numPr>
        <w:contextualSpacing w:val="0"/>
        <w:rPr>
          <w:lang w:val="nn-NO"/>
        </w:rPr>
      </w:pPr>
      <w:r w:rsidRPr="00A25EDF">
        <w:rPr>
          <w:lang w:val="nn-NO"/>
        </w:rPr>
        <w:t>Kunnska</w:t>
      </w:r>
      <w:r>
        <w:rPr>
          <w:lang w:val="nn-NO"/>
        </w:rPr>
        <w:t>psdepartementet vil ta opp saka</w:t>
      </w:r>
      <w:r w:rsidRPr="00A25EDF">
        <w:rPr>
          <w:lang w:val="nn-NO"/>
        </w:rPr>
        <w:t xml:space="preserve"> i relevante fora, som møter med sjefane for fylkesutdanninga. </w:t>
      </w:r>
    </w:p>
    <w:p w:rsidR="0098414A" w:rsidRPr="00A25EDF" w:rsidRDefault="0098414A" w:rsidP="0098414A">
      <w:pPr>
        <w:pStyle w:val="Listeavsnitt"/>
        <w:numPr>
          <w:ilvl w:val="0"/>
          <w:numId w:val="13"/>
        </w:numPr>
        <w:contextualSpacing w:val="0"/>
        <w:rPr>
          <w:lang w:val="nn-NO"/>
        </w:rPr>
      </w:pPr>
      <w:r w:rsidRPr="00A25EDF">
        <w:rPr>
          <w:lang w:val="nn-NO"/>
        </w:rPr>
        <w:t>Kunnskapsdepartementet vil sende brev til folkehøgskolane og gjere oppmerksom på rett</w:t>
      </w:r>
      <w:r>
        <w:rPr>
          <w:lang w:val="nn-NO"/>
        </w:rPr>
        <w:t>en</w:t>
      </w:r>
      <w:r w:rsidRPr="00A25EDF">
        <w:rPr>
          <w:lang w:val="nn-NO"/>
        </w:rPr>
        <w:t>.</w:t>
      </w:r>
    </w:p>
    <w:p w:rsidR="0098414A" w:rsidRPr="00A25EDF" w:rsidRDefault="0098414A" w:rsidP="0098414A">
      <w:pPr>
        <w:pStyle w:val="Listeavsnitt"/>
        <w:numPr>
          <w:ilvl w:val="0"/>
          <w:numId w:val="13"/>
        </w:numPr>
        <w:contextualSpacing w:val="0"/>
        <w:rPr>
          <w:lang w:val="nn-NO"/>
        </w:rPr>
      </w:pPr>
      <w:r w:rsidRPr="00A25EDF">
        <w:rPr>
          <w:lang w:val="nn-NO"/>
        </w:rPr>
        <w:t xml:space="preserve">Kunnskapsdepartementet vil i brev oppfordre universiteter og høgskolar om å skrive ut nytt vitnemål til personar i tråd med kjønnsidentiteten studentane har. </w:t>
      </w:r>
    </w:p>
    <w:p w:rsidR="0098414A" w:rsidRPr="00A25EDF" w:rsidRDefault="0098414A" w:rsidP="0098414A">
      <w:pPr>
        <w:rPr>
          <w:lang w:val="nn-NO"/>
        </w:rPr>
      </w:pPr>
    </w:p>
    <w:p w:rsidR="0098414A" w:rsidRPr="00F92135" w:rsidRDefault="0098414A" w:rsidP="006C5C63">
      <w:pPr>
        <w:pStyle w:val="Overskrift3"/>
      </w:pPr>
      <w:bookmarkStart w:id="13" w:name="_Toc476060715"/>
      <w:r w:rsidRPr="00F92135">
        <w:t>Saker på eiget initiativ</w:t>
      </w:r>
      <w:bookmarkEnd w:id="13"/>
    </w:p>
    <w:p w:rsidR="0098414A" w:rsidRPr="00F92135" w:rsidRDefault="0098414A" w:rsidP="0098414A">
      <w:pPr>
        <w:rPr>
          <w:lang w:val="nn-NO"/>
        </w:rPr>
      </w:pPr>
      <w:r w:rsidRPr="00F92135">
        <w:rPr>
          <w:lang w:val="nn-NO"/>
        </w:rPr>
        <w:t>LDO kan ta opp saker om diskriminering på eiget initiativ, når vi blir kjend med moglege diskrimineringssaker gjennom media, i samfunn</w:t>
      </w:r>
      <w:r>
        <w:rPr>
          <w:lang w:val="nn-NO"/>
        </w:rPr>
        <w:t>sdebatten, eller ved at enkelt</w:t>
      </w:r>
      <w:r w:rsidRPr="00F92135">
        <w:rPr>
          <w:lang w:val="nn-NO"/>
        </w:rPr>
        <w:t>personar tipsar oss.</w:t>
      </w:r>
    </w:p>
    <w:p w:rsidR="002A0738" w:rsidRDefault="002A0738" w:rsidP="0098414A">
      <w:pPr>
        <w:rPr>
          <w:lang w:val="nn-NO"/>
        </w:rPr>
      </w:pPr>
    </w:p>
    <w:p w:rsidR="0098414A" w:rsidRDefault="0098414A" w:rsidP="0098414A">
      <w:pPr>
        <w:rPr>
          <w:lang w:val="nn-NO"/>
        </w:rPr>
      </w:pPr>
      <w:r>
        <w:rPr>
          <w:lang w:val="nn-NO"/>
        </w:rPr>
        <w:t xml:space="preserve">I 2016 ble det mykje mediemerksemd knytta til eit </w:t>
      </w:r>
      <w:r w:rsidRPr="000D4494">
        <w:rPr>
          <w:lang w:val="nn-NO"/>
        </w:rPr>
        <w:t>turistsenter i Lom</w:t>
      </w:r>
      <w:r>
        <w:rPr>
          <w:lang w:val="nn-NO"/>
        </w:rPr>
        <w:t xml:space="preserve">, Nissegården, som hadde uttalt </w:t>
      </w:r>
      <w:r w:rsidR="00846299">
        <w:rPr>
          <w:lang w:val="nn-NO"/>
        </w:rPr>
        <w:t xml:space="preserve">til dei lokale myndigheitene og </w:t>
      </w:r>
      <w:r>
        <w:rPr>
          <w:lang w:val="nn-NO"/>
        </w:rPr>
        <w:t xml:space="preserve">i avisa at dei ikkje ville ta imot besøk frå flyktningar gjennom flyktningetenesten i kommunen. </w:t>
      </w:r>
    </w:p>
    <w:p w:rsidR="002A0738" w:rsidRDefault="002A0738" w:rsidP="0098414A">
      <w:pPr>
        <w:rPr>
          <w:lang w:val="nn-NO"/>
        </w:rPr>
      </w:pPr>
    </w:p>
    <w:p w:rsidR="0098414A" w:rsidRDefault="0098414A" w:rsidP="0098414A">
      <w:pPr>
        <w:rPr>
          <w:lang w:val="nn-NO"/>
        </w:rPr>
      </w:pPr>
      <w:r>
        <w:rPr>
          <w:lang w:val="nn-NO"/>
        </w:rPr>
        <w:t xml:space="preserve">Ombodet engasjerte seg i saka og tok kontakt med Nissegården. Ombodet sjølv og to medarbeidarar dro til Lom for å møte partane og få eit betre innblikk i saka. Møtet enda med at Nissegården kom med ei erklæring </w:t>
      </w:r>
      <w:r w:rsidR="00846299">
        <w:rPr>
          <w:lang w:val="nn-NO"/>
        </w:rPr>
        <w:t xml:space="preserve">på sin heimeside </w:t>
      </w:r>
      <w:r>
        <w:rPr>
          <w:lang w:val="nn-NO"/>
        </w:rPr>
        <w:t xml:space="preserve">om at flyktningar er velkomne på </w:t>
      </w:r>
      <w:r>
        <w:rPr>
          <w:lang w:val="nn-NO"/>
        </w:rPr>
        <w:lastRenderedPageBreak/>
        <w:t>senteret</w:t>
      </w:r>
      <w:r w:rsidR="00846299">
        <w:rPr>
          <w:lang w:val="nn-NO"/>
        </w:rPr>
        <w:t xml:space="preserve"> og at de</w:t>
      </w:r>
      <w:r w:rsidR="009A3616">
        <w:rPr>
          <w:lang w:val="nn-NO"/>
        </w:rPr>
        <w:t>t aldri hadde vore meininga å stenge ute flyktningar</w:t>
      </w:r>
      <w:r>
        <w:rPr>
          <w:lang w:val="nn-NO"/>
        </w:rPr>
        <w:t>. Etter dette avslutta ombodet klagesaka.</w:t>
      </w:r>
    </w:p>
    <w:p w:rsidR="009A3616" w:rsidRDefault="009A3616" w:rsidP="0098414A">
      <w:pPr>
        <w:rPr>
          <w:lang w:val="nn-NO"/>
        </w:rPr>
      </w:pPr>
    </w:p>
    <w:p w:rsidR="0098414A" w:rsidRPr="00906E3B" w:rsidRDefault="0098414A" w:rsidP="006C5C63">
      <w:pPr>
        <w:pStyle w:val="Overskrift2"/>
      </w:pPr>
      <w:bookmarkStart w:id="14" w:name="_Toc476060716"/>
      <w:r w:rsidRPr="00906E3B">
        <w:t>Førebygging</w:t>
      </w:r>
      <w:bookmarkEnd w:id="14"/>
    </w:p>
    <w:p w:rsidR="0098414A" w:rsidRPr="00906E3B" w:rsidRDefault="0098414A" w:rsidP="0098414A">
      <w:pPr>
        <w:rPr>
          <w:lang w:val="nn-NO"/>
        </w:rPr>
      </w:pPr>
      <w:r w:rsidRPr="00906E3B">
        <w:rPr>
          <w:lang w:val="nn-NO"/>
        </w:rPr>
        <w:t xml:space="preserve">Arbeidet </w:t>
      </w:r>
      <w:r>
        <w:rPr>
          <w:lang w:val="nn-NO"/>
        </w:rPr>
        <w:t xml:space="preserve">vårt </w:t>
      </w:r>
      <w:r w:rsidRPr="00906E3B">
        <w:rPr>
          <w:lang w:val="nn-NO"/>
        </w:rPr>
        <w:t>handlar ik</w:t>
      </w:r>
      <w:r>
        <w:rPr>
          <w:lang w:val="nn-NO"/>
        </w:rPr>
        <w:t>kje berre om å hjelpe</w:t>
      </w:r>
      <w:r w:rsidRPr="00906E3B">
        <w:rPr>
          <w:lang w:val="nn-NO"/>
        </w:rPr>
        <w:t xml:space="preserve"> dei som har opplevd diskriminering. Det handlar ò</w:t>
      </w:r>
      <w:r>
        <w:rPr>
          <w:lang w:val="nn-NO"/>
        </w:rPr>
        <w:t>g om å førebygge, og å sikre</w:t>
      </w:r>
      <w:r w:rsidRPr="00906E3B">
        <w:rPr>
          <w:lang w:val="nn-NO"/>
        </w:rPr>
        <w:t xml:space="preserve"> at dei strukturane og ordningane vi </w:t>
      </w:r>
      <w:r>
        <w:rPr>
          <w:lang w:val="nn-NO"/>
        </w:rPr>
        <w:t>har i samfunnet, faktisk bidrar til å fremme likestilling og hindre</w:t>
      </w:r>
      <w:r w:rsidRPr="00906E3B">
        <w:rPr>
          <w:lang w:val="nn-NO"/>
        </w:rPr>
        <w:t xml:space="preserve"> diskriminering. Mykje av rettleiingsarbeidet vårt handlar om å gje råd og rettleiing til arbeidsgjevarar, styres</w:t>
      </w:r>
      <w:r>
        <w:rPr>
          <w:lang w:val="nn-NO"/>
        </w:rPr>
        <w:t>makter og andre</w:t>
      </w:r>
      <w:r w:rsidRPr="00906E3B">
        <w:rPr>
          <w:lang w:val="nn-NO"/>
        </w:rPr>
        <w:t>, slik at de</w:t>
      </w:r>
      <w:r>
        <w:rPr>
          <w:lang w:val="nn-NO"/>
        </w:rPr>
        <w:t>i jobbar på ein måte som fremmer</w:t>
      </w:r>
      <w:r w:rsidRPr="00906E3B">
        <w:rPr>
          <w:lang w:val="nn-NO"/>
        </w:rPr>
        <w:t xml:space="preserve"> like høve for alle.</w:t>
      </w:r>
    </w:p>
    <w:p w:rsidR="0098414A" w:rsidRPr="00906E3B" w:rsidRDefault="0098414A" w:rsidP="0098414A">
      <w:pPr>
        <w:rPr>
          <w:lang w:val="nn-NO"/>
        </w:rPr>
      </w:pPr>
      <w:r w:rsidRPr="00906E3B">
        <w:rPr>
          <w:lang w:val="nn-NO"/>
        </w:rPr>
        <w:br/>
        <w:t>Ombodet skal påpe</w:t>
      </w:r>
      <w:r>
        <w:rPr>
          <w:lang w:val="nn-NO"/>
        </w:rPr>
        <w:t>i</w:t>
      </w:r>
      <w:r w:rsidRPr="00906E3B">
        <w:rPr>
          <w:lang w:val="nn-NO"/>
        </w:rPr>
        <w:t>k</w:t>
      </w:r>
      <w:r>
        <w:rPr>
          <w:lang w:val="nn-NO"/>
        </w:rPr>
        <w:t>e</w:t>
      </w:r>
      <w:r w:rsidRPr="00906E3B">
        <w:rPr>
          <w:lang w:val="nn-NO"/>
        </w:rPr>
        <w:t xml:space="preserve"> samfunnsskapte barrier</w:t>
      </w:r>
      <w:r>
        <w:rPr>
          <w:lang w:val="nn-NO"/>
        </w:rPr>
        <w:t>ar som hindrar like høve, spreie</w:t>
      </w:r>
      <w:r w:rsidRPr="00906E3B">
        <w:rPr>
          <w:lang w:val="nn-NO"/>
        </w:rPr>
        <w:t xml:space="preserve"> informasjon om likestilling og diskriminering, og ta initiativ til debattar om både status på området og ulike verkemiddel som kan brukast i arbeidet for eit meir likestilt samfunn.</w:t>
      </w:r>
    </w:p>
    <w:p w:rsidR="0098414A" w:rsidRPr="00906E3B" w:rsidRDefault="0098414A" w:rsidP="0098414A">
      <w:pPr>
        <w:rPr>
          <w:lang w:val="nn-NO"/>
        </w:rPr>
      </w:pPr>
    </w:p>
    <w:p w:rsidR="0098414A" w:rsidRPr="00906E3B" w:rsidRDefault="0098414A" w:rsidP="006C5C63">
      <w:pPr>
        <w:pStyle w:val="Overskrift3"/>
      </w:pPr>
      <w:bookmarkStart w:id="15" w:name="_Toc476060717"/>
      <w:r w:rsidRPr="00906E3B">
        <w:t>Førebygging ved å rettleie om plikter</w:t>
      </w:r>
      <w:bookmarkEnd w:id="15"/>
    </w:p>
    <w:p w:rsidR="0098414A" w:rsidRDefault="0098414A" w:rsidP="0098414A">
      <w:pPr>
        <w:rPr>
          <w:lang w:val="nn-NO"/>
        </w:rPr>
      </w:pPr>
      <w:r w:rsidRPr="00906E3B">
        <w:rPr>
          <w:lang w:val="nn-NO"/>
        </w:rPr>
        <w:t>Det er ein viktig del av arbeidet vårt å gje arbeidsgjevarar, styresmakter og and</w:t>
      </w:r>
      <w:r>
        <w:rPr>
          <w:lang w:val="nn-NO"/>
        </w:rPr>
        <w:t>re ansvarlege kunnskap om plikta</w:t>
      </w:r>
      <w:r w:rsidRPr="00906E3B">
        <w:rPr>
          <w:lang w:val="nn-NO"/>
        </w:rPr>
        <w:t xml:space="preserve">ne sine og om korleis dei skal gjere det aktive </w:t>
      </w:r>
      <w:r>
        <w:rPr>
          <w:lang w:val="nn-NO"/>
        </w:rPr>
        <w:t xml:space="preserve">arbeidet </w:t>
      </w:r>
      <w:r w:rsidRPr="00906E3B">
        <w:rPr>
          <w:lang w:val="nn-NO"/>
        </w:rPr>
        <w:t xml:space="preserve">for likestilling og </w:t>
      </w:r>
      <w:r>
        <w:rPr>
          <w:lang w:val="nn-NO"/>
        </w:rPr>
        <w:t>det førebygg</w:t>
      </w:r>
      <w:r w:rsidRPr="00906E3B">
        <w:rPr>
          <w:lang w:val="nn-NO"/>
        </w:rPr>
        <w:t xml:space="preserve">ande arbeidet mot diskriminering. </w:t>
      </w:r>
    </w:p>
    <w:p w:rsidR="0098414A" w:rsidRDefault="0098414A" w:rsidP="0098414A">
      <w:pPr>
        <w:rPr>
          <w:lang w:val="nn-NO"/>
        </w:rPr>
      </w:pPr>
    </w:p>
    <w:p w:rsidR="0098414A" w:rsidRDefault="0098414A" w:rsidP="0098414A">
      <w:pPr>
        <w:rPr>
          <w:lang w:val="nn-NO"/>
        </w:rPr>
      </w:pPr>
      <w:r w:rsidRPr="00906E3B">
        <w:rPr>
          <w:lang w:val="nn-NO"/>
        </w:rPr>
        <w:t>Vi har gjennomført og delteke på fleire kursopplegg for aktørar i arbeid</w:t>
      </w:r>
      <w:r>
        <w:rPr>
          <w:lang w:val="nn-NO"/>
        </w:rPr>
        <w:t>s</w:t>
      </w:r>
      <w:r w:rsidRPr="00906E3B">
        <w:rPr>
          <w:lang w:val="nn-NO"/>
        </w:rPr>
        <w:t xml:space="preserve">livet. Vi prioriterer å gi informasjon og opplæring til personar, organisasjonar og verksemder som igjen når ut bredt. Kursa gir også LDO kunnskap </w:t>
      </w:r>
      <w:r>
        <w:rPr>
          <w:lang w:val="nn-NO"/>
        </w:rPr>
        <w:t xml:space="preserve">om </w:t>
      </w:r>
      <w:r w:rsidRPr="00906E3B">
        <w:rPr>
          <w:lang w:val="nn-NO"/>
        </w:rPr>
        <w:t>og innsikt i utfordringar våre brukargrupper har, og er dermed viktige i arbeid</w:t>
      </w:r>
      <w:r>
        <w:rPr>
          <w:lang w:val="nn-NO"/>
        </w:rPr>
        <w:t xml:space="preserve"> </w:t>
      </w:r>
      <w:r w:rsidRPr="00906E3B">
        <w:rPr>
          <w:lang w:val="nn-NO"/>
        </w:rPr>
        <w:t xml:space="preserve">vårt. </w:t>
      </w:r>
    </w:p>
    <w:p w:rsidR="0098414A" w:rsidRDefault="0098414A" w:rsidP="0098414A">
      <w:pPr>
        <w:rPr>
          <w:lang w:val="nn-NO"/>
        </w:rPr>
      </w:pPr>
    </w:p>
    <w:p w:rsidR="0098414A" w:rsidRPr="00906E3B" w:rsidRDefault="0098414A" w:rsidP="0098414A">
      <w:pPr>
        <w:rPr>
          <w:lang w:val="nn-NO"/>
        </w:rPr>
      </w:pPr>
      <w:r w:rsidRPr="00906E3B">
        <w:rPr>
          <w:lang w:val="nn-NO"/>
        </w:rPr>
        <w:t xml:space="preserve">Ombodet fører tilsyn med og </w:t>
      </w:r>
      <w:r>
        <w:rPr>
          <w:lang w:val="nn-NO"/>
        </w:rPr>
        <w:t>gir</w:t>
      </w:r>
      <w:r w:rsidRPr="00906E3B">
        <w:rPr>
          <w:lang w:val="nn-NO"/>
        </w:rPr>
        <w:t xml:space="preserve"> rettleiing om dei lovpålagde ak</w:t>
      </w:r>
      <w:r>
        <w:rPr>
          <w:lang w:val="nn-NO"/>
        </w:rPr>
        <w:t>tivitets- og rapporteringsplikta</w:t>
      </w:r>
      <w:r w:rsidRPr="00906E3B">
        <w:rPr>
          <w:lang w:val="nn-NO"/>
        </w:rPr>
        <w:t>ne.</w:t>
      </w:r>
      <w:r>
        <w:rPr>
          <w:lang w:val="nn-NO"/>
        </w:rPr>
        <w:t xml:space="preserve"> </w:t>
      </w:r>
      <w:r w:rsidRPr="00906E3B">
        <w:rPr>
          <w:lang w:val="nn-NO"/>
        </w:rPr>
        <w:t>Ombodet legg</w:t>
      </w:r>
      <w:r>
        <w:rPr>
          <w:lang w:val="nn-NO"/>
        </w:rPr>
        <w:t>er</w:t>
      </w:r>
      <w:r w:rsidRPr="00906E3B">
        <w:rPr>
          <w:lang w:val="nn-NO"/>
        </w:rPr>
        <w:t xml:space="preserve"> stor vekt på å rettleie om plikt</w:t>
      </w:r>
      <w:r>
        <w:rPr>
          <w:lang w:val="nn-NO"/>
        </w:rPr>
        <w:t>a</w:t>
      </w:r>
      <w:r w:rsidRPr="00906E3B">
        <w:rPr>
          <w:lang w:val="nn-NO"/>
        </w:rPr>
        <w:t>ne arbeidsgjevar</w:t>
      </w:r>
      <w:r>
        <w:rPr>
          <w:lang w:val="nn-NO"/>
        </w:rPr>
        <w:t>ar</w:t>
      </w:r>
      <w:r w:rsidRPr="00906E3B">
        <w:rPr>
          <w:lang w:val="nn-NO"/>
        </w:rPr>
        <w:t xml:space="preserve"> har for å frem</w:t>
      </w:r>
      <w:r>
        <w:rPr>
          <w:lang w:val="nn-NO"/>
        </w:rPr>
        <w:t xml:space="preserve">me </w:t>
      </w:r>
      <w:r w:rsidRPr="00906E3B">
        <w:rPr>
          <w:lang w:val="nn-NO"/>
        </w:rPr>
        <w:t>likestilling og hindre diskriminering. Gjennom rettleiingsarbeidet får vi innblikk i korleis arbeidsgjevar</w:t>
      </w:r>
      <w:r>
        <w:rPr>
          <w:lang w:val="nn-NO"/>
        </w:rPr>
        <w:t>ar</w:t>
      </w:r>
      <w:r w:rsidRPr="00906E3B">
        <w:rPr>
          <w:lang w:val="nn-NO"/>
        </w:rPr>
        <w:t xml:space="preserve"> jobbar med desse problemstillingane frå dag til dag, og kan bidra til at rutinane, praksisane og systema deira byggjer opp under målet om eit likestilt arbeidsliv.</w:t>
      </w:r>
    </w:p>
    <w:p w:rsidR="0098414A" w:rsidRDefault="0098414A" w:rsidP="0098414A">
      <w:pPr>
        <w:rPr>
          <w:lang w:val="nn-NO"/>
        </w:rPr>
      </w:pPr>
    </w:p>
    <w:p w:rsidR="0098414A" w:rsidRPr="00906E3B" w:rsidRDefault="0098414A" w:rsidP="0098414A">
      <w:pPr>
        <w:rPr>
          <w:lang w:val="nn-NO"/>
        </w:rPr>
      </w:pPr>
      <w:r w:rsidRPr="00EC6406">
        <w:rPr>
          <w:lang w:val="nn-NO"/>
        </w:rPr>
        <w:t>I 201</w:t>
      </w:r>
      <w:r>
        <w:rPr>
          <w:lang w:val="nn-NO"/>
        </w:rPr>
        <w:t>6</w:t>
      </w:r>
      <w:r w:rsidRPr="00EC6406">
        <w:rPr>
          <w:lang w:val="nn-NO"/>
        </w:rPr>
        <w:t xml:space="preserve"> har vi jobba </w:t>
      </w:r>
      <w:r>
        <w:rPr>
          <w:lang w:val="nn-NO"/>
        </w:rPr>
        <w:t xml:space="preserve">vidare </w:t>
      </w:r>
      <w:r w:rsidRPr="00EC6406">
        <w:rPr>
          <w:lang w:val="nn-NO"/>
        </w:rPr>
        <w:t xml:space="preserve">med opplæring og kursing av arbeidstakarorganisasjonar. Formålet har vore å få på plass gode rutinar for å hindre diskriminering og trakassering. </w:t>
      </w:r>
      <w:r>
        <w:rPr>
          <w:lang w:val="nn-NO"/>
        </w:rPr>
        <w:t>Ombodet undersøkte også If Skadeforsikring årberetning for 201</w:t>
      </w:r>
      <w:r w:rsidR="005E22A0">
        <w:rPr>
          <w:lang w:val="nn-NO"/>
        </w:rPr>
        <w:t>6</w:t>
      </w:r>
      <w:r>
        <w:rPr>
          <w:lang w:val="nn-NO"/>
        </w:rPr>
        <w:t xml:space="preserve">. </w:t>
      </w:r>
      <w:r w:rsidR="005E22A0">
        <w:rPr>
          <w:lang w:val="nn-NO"/>
        </w:rPr>
        <w:t xml:space="preserve">Ombodet kom fram til at dei ikkje hadde oppfylt krava etter likestillingsloven for kva ein årsberetning skal innehalde. If Skadeforsikring har retta seg etter ombodet sin avgjerd. </w:t>
      </w:r>
      <w:r>
        <w:rPr>
          <w:lang w:val="nn-NO"/>
        </w:rPr>
        <w:t>Vi har i 2017 fortsatt samarbeidet med If Skadeforsikring.</w:t>
      </w:r>
    </w:p>
    <w:p w:rsidR="0098414A" w:rsidRPr="00906E3B" w:rsidRDefault="0098414A" w:rsidP="0098414A">
      <w:pPr>
        <w:rPr>
          <w:lang w:val="nn-NO"/>
        </w:rPr>
      </w:pPr>
    </w:p>
    <w:p w:rsidR="0098414A" w:rsidRPr="00906E3B" w:rsidRDefault="0098414A" w:rsidP="006C5C63">
      <w:pPr>
        <w:pStyle w:val="Overskrift3"/>
      </w:pPr>
      <w:bookmarkStart w:id="16" w:name="_Toc476060718"/>
      <w:r w:rsidRPr="00906E3B">
        <w:t xml:space="preserve">Engasjement </w:t>
      </w:r>
      <w:r>
        <w:t xml:space="preserve">for </w:t>
      </w:r>
      <w:r w:rsidRPr="00906E3B">
        <w:t>og debatt om likestilling</w:t>
      </w:r>
      <w:bookmarkEnd w:id="16"/>
    </w:p>
    <w:p w:rsidR="001A359F" w:rsidRPr="001A359F" w:rsidRDefault="001A359F" w:rsidP="001A359F">
      <w:pPr>
        <w:rPr>
          <w:lang w:val="nn-NO"/>
        </w:rPr>
      </w:pPr>
      <w:r w:rsidRPr="001A359F">
        <w:rPr>
          <w:lang w:val="nn-NO"/>
        </w:rPr>
        <w:t xml:space="preserve">Media er ein viktig kanal for ombodet av fleire grunner. Vi bruker media for å spreie informasjon om rettar og plikter, og fortelle kva ombodet kan bidra med. Vi bruker også media for å skape engasjement for likestillings- og antidiskrimineringsarbeid. I 2016 har vi satt dagsorden med på fleire område. Blant desse er saker og debattar knytta til religion, religionsfrihet, seksuell trakassering, arbeidslivsdiskriminering og pensjon. Hausten 2016 har </w:t>
      </w:r>
      <w:r w:rsidRPr="001A359F">
        <w:rPr>
          <w:lang w:val="nn-NO"/>
        </w:rPr>
        <w:lastRenderedPageBreak/>
        <w:t>det vore eit særleg fokus på proaktivt mediearbeid, noko som aleine ga meir enn 70 saker som vi initierte i mediene.</w:t>
      </w:r>
    </w:p>
    <w:p w:rsidR="001A359F" w:rsidRPr="001A359F" w:rsidRDefault="001A359F" w:rsidP="001A359F">
      <w:pPr>
        <w:rPr>
          <w:lang w:val="nn-NO"/>
        </w:rPr>
      </w:pPr>
    </w:p>
    <w:p w:rsidR="001A359F" w:rsidRPr="001A359F" w:rsidRDefault="001A359F" w:rsidP="001A359F">
      <w:pPr>
        <w:rPr>
          <w:lang w:val="nn-NO"/>
        </w:rPr>
      </w:pPr>
      <w:r w:rsidRPr="001A359F">
        <w:rPr>
          <w:lang w:val="nn-NO"/>
        </w:rPr>
        <w:t xml:space="preserve">Vi baserer det vi seier i media og andre områder på mellom anna forsking på likestillings- og diskrimineringsfeltet, høringssvar vi har gitt, og våre eigne faglege analysar og klagesakar. Noreg sine forpliktingar etter FNs konvensjonar er også ofte utgangspunkt for våre utspel. Du kan lese meir om tilsynsansvaret og høringsarbeidet i del 3.4 . </w:t>
      </w:r>
    </w:p>
    <w:p w:rsidR="001A359F" w:rsidRPr="001A359F" w:rsidRDefault="001A359F" w:rsidP="001A359F">
      <w:pPr>
        <w:rPr>
          <w:lang w:val="nn-NO"/>
        </w:rPr>
      </w:pPr>
    </w:p>
    <w:p w:rsidR="001A359F" w:rsidRPr="001A359F" w:rsidRDefault="001A359F" w:rsidP="001A359F">
      <w:pPr>
        <w:rPr>
          <w:lang w:val="nn-NO"/>
        </w:rPr>
      </w:pPr>
      <w:r w:rsidRPr="001A359F">
        <w:rPr>
          <w:lang w:val="nn-NO"/>
        </w:rPr>
        <w:t>Ombodet er opptatt av å bruke ulike type medium for nå ulike målgrupper, og sikre god geografisk spreiing i dekninga. Vi har også god auke i følgjarar av våre sosiale medie-kanalar.</w:t>
      </w:r>
    </w:p>
    <w:p w:rsidR="001A359F" w:rsidRPr="001A359F" w:rsidRDefault="001A359F" w:rsidP="001A359F">
      <w:pPr>
        <w:rPr>
          <w:lang w:val="nn-NO"/>
        </w:rPr>
      </w:pPr>
    </w:p>
    <w:p w:rsidR="001A359F" w:rsidRPr="001A359F" w:rsidRDefault="001A359F" w:rsidP="001A359F">
      <w:pPr>
        <w:rPr>
          <w:rFonts w:ascii="Arial" w:hAnsi="Arial" w:cs="Arial"/>
          <w:lang w:val="nn-NO"/>
        </w:rPr>
      </w:pPr>
      <w:r w:rsidRPr="001A359F">
        <w:rPr>
          <w:lang w:val="nn-NO"/>
        </w:rPr>
        <w:t>Også 2016 fekk hets og hatytringar i samfunnsdebatten mykje merksemd. Fleire fortalde at dei ikkje orkar å ha ei offentlig stemme i debatter fordi dei opplever hets og trakassering. Vi initierte også fleire sakar om hatkriminalitet retta mot våre målgrupper i samarbeid med mellom anna VG. Diskusjonen har handla om skadeverkingane av hatytringar og hatkriminalitet, og korleis vi kan motverke dette. Ombodet har delteke i debatten med utgangspunkt i rapporten vår om hatytringar og hatkriminalitet, som blei lansert i april 2015 og ECRI sin evaluering av Norges arbeid mot hatytringar og hatkriminalitet. Ombudets arbeid mot hatytringar og hatkriminalitet held fram i 2017, også med eigne prosjekt.</w:t>
      </w:r>
    </w:p>
    <w:p w:rsidR="001A359F" w:rsidRPr="001A359F" w:rsidRDefault="001A359F" w:rsidP="001A359F">
      <w:pPr>
        <w:rPr>
          <w:lang w:val="nn-NO"/>
        </w:rPr>
      </w:pPr>
    </w:p>
    <w:p w:rsidR="001A359F" w:rsidRPr="001A359F" w:rsidRDefault="001A359F" w:rsidP="001A359F">
      <w:pPr>
        <w:pStyle w:val="Overskrift3"/>
      </w:pPr>
      <w:bookmarkStart w:id="17" w:name="_Toc476060719"/>
      <w:r w:rsidRPr="001A359F">
        <w:t>Foredrag</w:t>
      </w:r>
      <w:bookmarkEnd w:id="17"/>
    </w:p>
    <w:p w:rsidR="001A359F" w:rsidRPr="001A359F" w:rsidRDefault="001A359F" w:rsidP="001A359F">
      <w:pPr>
        <w:rPr>
          <w:lang w:val="nn-NO"/>
        </w:rPr>
      </w:pPr>
      <w:r w:rsidRPr="001A359F">
        <w:rPr>
          <w:lang w:val="nn-NO"/>
        </w:rPr>
        <w:t xml:space="preserve">For å sikre eit reelt diskrimineringsvern, er det av stor tyding at folk kjenner rettane sine. Behov for kunnskap er stort. Foredrag er derfor ein prioritert aktivitet, for å nå ut med informasjon om rettar, ombodet sitt arbeid og likestillings- og diskrimineringsutfordringar. </w:t>
      </w:r>
    </w:p>
    <w:p w:rsidR="001A359F" w:rsidRPr="001A359F" w:rsidRDefault="001A359F" w:rsidP="001A359F">
      <w:pPr>
        <w:rPr>
          <w:lang w:val="nn-NO"/>
        </w:rPr>
      </w:pPr>
    </w:p>
    <w:p w:rsidR="001A359F" w:rsidRPr="001A359F" w:rsidRDefault="001A359F" w:rsidP="001A359F">
      <w:pPr>
        <w:rPr>
          <w:lang w:val="nn-NO"/>
        </w:rPr>
      </w:pPr>
      <w:r w:rsidRPr="001A359F">
        <w:rPr>
          <w:lang w:val="nn-NO"/>
        </w:rPr>
        <w:t xml:space="preserve">Det er ei stadig auke i førespurnader om foredrag. I 2016 ga vi ca. 250 foredrag og innlegg. Det er ei auke frå 150 foredrag i 2014 og 200 i 2015. Vi holdar foredrag for mange ulike grupperinger som frivillige organisasjonar, verksemder og arbeidstakar- og arbeidsgjevarorganisasjonar. Vi tek jamleg i mot besøk frå utanlandske delegasjonar, som ønsker kunnskap om ombodsordninga, organisasjonen og arbeidet. </w:t>
      </w:r>
    </w:p>
    <w:p w:rsidR="001A359F" w:rsidRPr="001A359F" w:rsidRDefault="001A359F" w:rsidP="001A359F">
      <w:pPr>
        <w:rPr>
          <w:lang w:val="nn-NO"/>
        </w:rPr>
      </w:pPr>
    </w:p>
    <w:p w:rsidR="001A359F" w:rsidRPr="001A359F" w:rsidRDefault="001A359F" w:rsidP="001A359F">
      <w:pPr>
        <w:rPr>
          <w:lang w:val="nn-NO"/>
        </w:rPr>
      </w:pPr>
      <w:r w:rsidRPr="001A359F">
        <w:rPr>
          <w:lang w:val="nn-NO"/>
        </w:rPr>
        <w:t xml:space="preserve">Likestillings- og diskrimineringsombodet holdt i 2016 mellom anna ein serie foredrag for Forsvaret. Temaet for soldataksjonen var seksuell trakassering. </w:t>
      </w:r>
      <w:r w:rsidR="005F55A9">
        <w:rPr>
          <w:lang w:val="nn-NO"/>
        </w:rPr>
        <w:t xml:space="preserve">Ombodet ble invitert til samarbeid av ordninga for tillitsvalde i Forsvaret. Tillitvalde i Forsvaret anerkjenn at det er eit problem med seksuell trakassering i Forsvaret. I forbindelse med at det vert allmenn verneplikt i Noreg, var det eit ønske om å retta fokus på problemstillinga. Ombodet hald syv foredrag for omlag 3000 soldatar. Tilbakemeldingane var gode og samarbeidet </w:t>
      </w:r>
      <w:r w:rsidRPr="001A359F">
        <w:rPr>
          <w:lang w:val="nn-NO"/>
        </w:rPr>
        <w:t xml:space="preserve">med Forsvaret </w:t>
      </w:r>
      <w:r w:rsidR="005F55A9">
        <w:rPr>
          <w:lang w:val="nn-NO"/>
        </w:rPr>
        <w:t xml:space="preserve">om å hindra seksuell trakassering </w:t>
      </w:r>
      <w:r w:rsidRPr="001A359F">
        <w:rPr>
          <w:lang w:val="nn-NO"/>
        </w:rPr>
        <w:t>vil fortsette i 2017.</w:t>
      </w:r>
      <w:r w:rsidR="005F55A9">
        <w:rPr>
          <w:lang w:val="nn-NO"/>
        </w:rPr>
        <w:t xml:space="preserve"> </w:t>
      </w:r>
    </w:p>
    <w:p w:rsidR="001A359F" w:rsidRPr="001A359F" w:rsidRDefault="001A359F" w:rsidP="001A359F">
      <w:pPr>
        <w:rPr>
          <w:lang w:val="nn-NO"/>
        </w:rPr>
      </w:pPr>
    </w:p>
    <w:p w:rsidR="001A359F" w:rsidRPr="001A359F" w:rsidRDefault="001A359F" w:rsidP="001A359F">
      <w:pPr>
        <w:rPr>
          <w:lang w:val="nn-NO"/>
        </w:rPr>
      </w:pPr>
      <w:r w:rsidRPr="001A359F">
        <w:rPr>
          <w:lang w:val="nn-NO"/>
        </w:rPr>
        <w:t>Ombudet har sjølv gitt fleire større foredrag, mellom anna om rekruttering hos til dømes NHO, om likestilling hos Forsvaret, om valdtekt på Universitetet i Oslo knytta til den såkalla Hemsedal-saka, og ikkje minst arbeidet mot vold blant kvinner, til dømes under 8. mars-markeringen i Bergen.</w:t>
      </w:r>
    </w:p>
    <w:p w:rsidR="001A359F" w:rsidRPr="001A359F" w:rsidRDefault="001A359F" w:rsidP="001A359F">
      <w:pPr>
        <w:pStyle w:val="Overskrift3"/>
      </w:pPr>
      <w:bookmarkStart w:id="18" w:name="_Toc476060720"/>
      <w:r w:rsidRPr="001A359F">
        <w:lastRenderedPageBreak/>
        <w:t>Arrangement og debattmøte</w:t>
      </w:r>
      <w:bookmarkEnd w:id="18"/>
      <w:r w:rsidRPr="001A359F">
        <w:t xml:space="preserve"> </w:t>
      </w:r>
    </w:p>
    <w:p w:rsidR="001A359F" w:rsidRPr="001A359F" w:rsidRDefault="001A359F" w:rsidP="001A359F">
      <w:pPr>
        <w:rPr>
          <w:lang w:val="nn-NO"/>
        </w:rPr>
      </w:pPr>
      <w:r w:rsidRPr="001A359F">
        <w:rPr>
          <w:lang w:val="nn-NO"/>
        </w:rPr>
        <w:t>LDO skal være eit møtepunkt for aktørar på likestillingsfeltet. For å lytte til personar som møter ulike utfordringar i samfunnet, og for å lære meir om kva vi kan gjere og ta tak i, prioriterte vi å lage arrangement med ulike tema. Vi live-overfører arrangementa på internett, slik at det går an å følge med sjølv om ein ikkje er fysisk til stade.</w:t>
      </w:r>
    </w:p>
    <w:p w:rsidR="001A359F" w:rsidRPr="001A359F" w:rsidRDefault="001A359F" w:rsidP="001A359F">
      <w:pPr>
        <w:rPr>
          <w:lang w:val="nn-NO"/>
        </w:rPr>
      </w:pPr>
    </w:p>
    <w:p w:rsidR="001A359F" w:rsidRPr="001A359F" w:rsidRDefault="001A359F" w:rsidP="001A359F">
      <w:pPr>
        <w:rPr>
          <w:lang w:val="nn-NO"/>
        </w:rPr>
      </w:pPr>
      <w:r w:rsidRPr="00760641">
        <w:rPr>
          <w:lang w:val="nn-NO"/>
        </w:rPr>
        <w:t>I 2016 hadde vi til dømes eit frukostmøte om kjønn, arbeid og omsorg. Arrangementet blei holdt i forbindelse med arbeidstidsutvalget sin utredning.</w:t>
      </w:r>
      <w:r w:rsidRPr="00760641" w:rsidDel="00EC4C32">
        <w:rPr>
          <w:lang w:val="nn-NO"/>
        </w:rPr>
        <w:t xml:space="preserve"> </w:t>
      </w:r>
      <w:r w:rsidRPr="00760641">
        <w:rPr>
          <w:lang w:val="nn-NO"/>
        </w:rPr>
        <w:t xml:space="preserve">Vi var også representert under Oslo Pride, i paraden og med stand. </w:t>
      </w:r>
      <w:r w:rsidRPr="001A359F">
        <w:rPr>
          <w:lang w:val="nn-NO"/>
        </w:rPr>
        <w:t>Under Arendalsuka hadde vi eit arrangement i samarbeid med vårt brukerutvalg, og stand på torget i Arendal.</w:t>
      </w:r>
      <w:r w:rsidR="005E22A0">
        <w:rPr>
          <w:lang w:val="nn-NO"/>
        </w:rPr>
        <w:t xml:space="preserve"> Arrangementet under Arendalsuka omhandla utestenging frå arbeidslivet.</w:t>
      </w:r>
    </w:p>
    <w:p w:rsidR="001A359F" w:rsidRPr="001A359F" w:rsidRDefault="001A359F" w:rsidP="001A359F">
      <w:pPr>
        <w:rPr>
          <w:lang w:val="nn-NO"/>
        </w:rPr>
      </w:pPr>
    </w:p>
    <w:p w:rsidR="001A359F" w:rsidRPr="003A6704" w:rsidRDefault="001A359F" w:rsidP="001A359F">
      <w:r w:rsidRPr="003A6704">
        <w:t>Tirsdag 8. og onsdag 9. november arrangerte ombodet to konferanser om hatkriminalitet. Dette ble arrangert i samarbeid med European Commission against Racism and Intolerance (ECRI) og Nettverket mot hatkriminalitet. Temaet for konferansane var kunnskap om korleis andre land arbeidar mot hatkriminalitet. Ombodet ønska å få kunnskap om korleis myndigheitene kunne arbeide betre for å motarbeide hatkriminalitet og hatytringar. Arrangementene var godt besøkt med representanter både frå myndigheitene, politikarar og fagpersonar.</w:t>
      </w:r>
    </w:p>
    <w:p w:rsidR="001A359F" w:rsidRPr="003A6704" w:rsidRDefault="001A359F" w:rsidP="001A359F"/>
    <w:p w:rsidR="00C22C57" w:rsidRPr="003A6704" w:rsidRDefault="001A359F" w:rsidP="00C22C57">
      <w:r w:rsidRPr="003A6704">
        <w:t>Vi avslutta året med eit møte knytta til kampanjen Taushet tar liv. I 2016 var det særleg merksemd på at overgripar skal ha byrden. At den som har blitt ramma av vold ikkje ender opp med hemmeleg adresse (kode 6) som einaste reelle tiltak for å beskytte vedkommande, men heller får fortsette livet i sitt eiget heim, med jobb, skule og nettverk. I samarbeid med Krisesentersekreteriatet arbeida ombodet for at overgripar i staden skal bli gitt besøksforbod og elektronisk overvåkin</w:t>
      </w:r>
      <w:r w:rsidR="00C22C57" w:rsidRPr="003A6704">
        <w:t>g (omvendt voldsalarm/fotlenke).</w:t>
      </w:r>
    </w:p>
    <w:p w:rsidR="00C22C57" w:rsidRPr="003A6704" w:rsidRDefault="00C22C57" w:rsidP="00C22C57"/>
    <w:p w:rsidR="001A359F" w:rsidRPr="001A359F" w:rsidRDefault="001A359F" w:rsidP="00C22C57">
      <w:pPr>
        <w:rPr>
          <w:lang w:val="nn-NO"/>
        </w:rPr>
      </w:pPr>
      <w:r w:rsidRPr="001A359F">
        <w:rPr>
          <w:lang w:val="nn-NO"/>
        </w:rPr>
        <w:t xml:space="preserve">Arrangementa våre er godt besøkte. </w:t>
      </w:r>
    </w:p>
    <w:p w:rsidR="0098414A" w:rsidRPr="00906E3B" w:rsidRDefault="0098414A" w:rsidP="0098414A">
      <w:pPr>
        <w:rPr>
          <w:lang w:val="nn-NO"/>
        </w:rPr>
      </w:pPr>
    </w:p>
    <w:p w:rsidR="0098414A" w:rsidRPr="006C5C63" w:rsidRDefault="006C5C63" w:rsidP="006C5C63">
      <w:pPr>
        <w:pStyle w:val="Overskrift2"/>
      </w:pPr>
      <w:bookmarkStart w:id="19" w:name="_Toc476060721"/>
      <w:r w:rsidRPr="006C5C63">
        <w:t>E</w:t>
      </w:r>
      <w:r w:rsidR="0098414A" w:rsidRPr="006C5C63">
        <w:t>ndring gjennom samarbeid</w:t>
      </w:r>
      <w:bookmarkEnd w:id="19"/>
    </w:p>
    <w:p w:rsidR="0098414A" w:rsidRPr="00906E3B" w:rsidRDefault="0098414A" w:rsidP="0098414A">
      <w:pPr>
        <w:rPr>
          <w:lang w:val="nn-NO"/>
        </w:rPr>
      </w:pPr>
      <w:r w:rsidRPr="00906E3B">
        <w:rPr>
          <w:lang w:val="nn-NO"/>
        </w:rPr>
        <w:t>Vi er avhengig av å samarbeid</w:t>
      </w:r>
      <w:r>
        <w:rPr>
          <w:lang w:val="nn-NO"/>
        </w:rPr>
        <w:t>e</w:t>
      </w:r>
      <w:r w:rsidRPr="00906E3B">
        <w:rPr>
          <w:lang w:val="nn-NO"/>
        </w:rPr>
        <w:t xml:space="preserve"> med andre aktørar, for å nå våre mål om å hjelp</w:t>
      </w:r>
      <w:r>
        <w:rPr>
          <w:lang w:val="nn-NO"/>
        </w:rPr>
        <w:t>e dei som har vor</w:t>
      </w:r>
      <w:r w:rsidRPr="00906E3B">
        <w:rPr>
          <w:lang w:val="nn-NO"/>
        </w:rPr>
        <w:t>e utsett</w:t>
      </w:r>
      <w:r>
        <w:rPr>
          <w:lang w:val="nn-NO"/>
        </w:rPr>
        <w:t>e</w:t>
      </w:r>
      <w:r w:rsidRPr="00906E3B">
        <w:rPr>
          <w:lang w:val="nn-NO"/>
        </w:rPr>
        <w:t xml:space="preserve"> for </w:t>
      </w:r>
      <w:r>
        <w:rPr>
          <w:lang w:val="nn-NO"/>
        </w:rPr>
        <w:t>diskriminering og endre</w:t>
      </w:r>
      <w:r w:rsidRPr="00906E3B">
        <w:rPr>
          <w:lang w:val="nn-NO"/>
        </w:rPr>
        <w:t xml:space="preserve"> dei strukturane som skapar diskriminering. I alle prosjekta våre er det viktig å avklare kven vi kan samarbeid</w:t>
      </w:r>
      <w:r>
        <w:rPr>
          <w:lang w:val="nn-NO"/>
        </w:rPr>
        <w:t>e</w:t>
      </w:r>
      <w:r w:rsidRPr="00906E3B">
        <w:rPr>
          <w:lang w:val="nn-NO"/>
        </w:rPr>
        <w:t xml:space="preserve"> med for å nå måla våre.</w:t>
      </w:r>
    </w:p>
    <w:p w:rsidR="002A0738" w:rsidRDefault="002A0738" w:rsidP="006C5C63">
      <w:pPr>
        <w:pStyle w:val="Overskrift3"/>
      </w:pPr>
    </w:p>
    <w:p w:rsidR="0098414A" w:rsidRPr="006C5C63" w:rsidRDefault="0098414A" w:rsidP="006C5C63">
      <w:pPr>
        <w:pStyle w:val="Overskrift3"/>
      </w:pPr>
      <w:bookmarkStart w:id="20" w:name="_Toc476060722"/>
      <w:r w:rsidRPr="006C5C63">
        <w:t>Samarbeid med sivilt samfunn</w:t>
      </w:r>
      <w:bookmarkEnd w:id="20"/>
    </w:p>
    <w:p w:rsidR="0098414A" w:rsidRPr="00906E3B" w:rsidRDefault="0098414A" w:rsidP="0098414A">
      <w:pPr>
        <w:rPr>
          <w:lang w:val="nn-NO"/>
        </w:rPr>
      </w:pPr>
      <w:r w:rsidRPr="00906E3B">
        <w:rPr>
          <w:lang w:val="nn-NO"/>
        </w:rPr>
        <w:t>Samarbeid med sivilt samfunn er viktig av fleire grunner. Det er viktig for å styrk</w:t>
      </w:r>
      <w:r>
        <w:rPr>
          <w:lang w:val="nn-NO"/>
        </w:rPr>
        <w:t>e</w:t>
      </w:r>
      <w:r w:rsidRPr="00906E3B">
        <w:rPr>
          <w:lang w:val="nn-NO"/>
        </w:rPr>
        <w:t xml:space="preserve"> kunnskapen til ombodet om røynslene til brukarane – dei som opplever diskriminering og mangel på likestilling i Noreg. Sivilt samfunn er viktige samarbeidspartnarar for ombodet i tilsynsarbeidet overfor norske styresmakter, og i arbeidet med å skap</w:t>
      </w:r>
      <w:r>
        <w:rPr>
          <w:lang w:val="nn-NO"/>
        </w:rPr>
        <w:t>e</w:t>
      </w:r>
      <w:r w:rsidRPr="00906E3B">
        <w:rPr>
          <w:lang w:val="nn-NO"/>
        </w:rPr>
        <w:t xml:space="preserve"> engasjement for likestilling.</w:t>
      </w:r>
    </w:p>
    <w:p w:rsidR="0098414A" w:rsidRPr="00906E3B" w:rsidRDefault="0098414A" w:rsidP="0098414A">
      <w:pPr>
        <w:rPr>
          <w:lang w:val="nn-NO"/>
        </w:rPr>
      </w:pPr>
    </w:p>
    <w:p w:rsidR="0098414A" w:rsidRPr="009B2E6F" w:rsidRDefault="0098414A" w:rsidP="0098414A">
      <w:pPr>
        <w:rPr>
          <w:lang w:val="nn-NO"/>
        </w:rPr>
      </w:pPr>
      <w:r w:rsidRPr="009B2E6F">
        <w:rPr>
          <w:lang w:val="nn-NO"/>
        </w:rPr>
        <w:t>I 2015 laga LDO ei</w:t>
      </w:r>
      <w:r>
        <w:rPr>
          <w:lang w:val="nn-NO"/>
        </w:rPr>
        <w:t>n</w:t>
      </w:r>
      <w:r w:rsidRPr="009B2E6F">
        <w:rPr>
          <w:lang w:val="nn-NO"/>
        </w:rPr>
        <w:t xml:space="preserve"> plattform for kontakt</w:t>
      </w:r>
      <w:r>
        <w:rPr>
          <w:lang w:val="nn-NO"/>
        </w:rPr>
        <w:t>en</w:t>
      </w:r>
      <w:r w:rsidRPr="009B2E6F">
        <w:rPr>
          <w:lang w:val="nn-NO"/>
        </w:rPr>
        <w:t xml:space="preserve"> med sivilt samfunn. Den slår fast at LDO ikkje kan fylle si samfunnsrolle utan kontakt med dei som </w:t>
      </w:r>
      <w:r>
        <w:rPr>
          <w:lang w:val="nn-NO"/>
        </w:rPr>
        <w:t xml:space="preserve">blir ramma </w:t>
      </w:r>
      <w:r w:rsidRPr="009B2E6F">
        <w:rPr>
          <w:lang w:val="nn-NO"/>
        </w:rPr>
        <w:t xml:space="preserve">av diskriminering. Ombodet </w:t>
      </w:r>
      <w:r w:rsidRPr="009B2E6F">
        <w:rPr>
          <w:lang w:val="nn-NO"/>
        </w:rPr>
        <w:lastRenderedPageBreak/>
        <w:t xml:space="preserve">skal ta utgangspunkt i dei </w:t>
      </w:r>
      <w:r>
        <w:rPr>
          <w:lang w:val="nn-NO"/>
        </w:rPr>
        <w:t>diskriminerte sitt</w:t>
      </w:r>
      <w:r w:rsidRPr="009B2E6F">
        <w:rPr>
          <w:lang w:val="nn-NO"/>
        </w:rPr>
        <w:t xml:space="preserve"> perspektiv, og ser på erfaringsbasert kunnskap som like gyldig som annan kunnskap. Dessutan er samarbeid med sivilt samfunn viktig for å få til endringar som </w:t>
      </w:r>
      <w:r>
        <w:rPr>
          <w:lang w:val="nn-NO"/>
        </w:rPr>
        <w:t>fremmer</w:t>
      </w:r>
      <w:r w:rsidRPr="009B2E6F">
        <w:rPr>
          <w:lang w:val="nn-NO"/>
        </w:rPr>
        <w:t xml:space="preserve"> likestilling. Målet med plattforma er å vere tydeleg på korfor og </w:t>
      </w:r>
      <w:r>
        <w:rPr>
          <w:lang w:val="nn-NO"/>
        </w:rPr>
        <w:t xml:space="preserve">korleis </w:t>
      </w:r>
      <w:r w:rsidRPr="009B2E6F">
        <w:rPr>
          <w:lang w:val="nn-NO"/>
        </w:rPr>
        <w:t>vi</w:t>
      </w:r>
      <w:r>
        <w:rPr>
          <w:lang w:val="nn-NO"/>
        </w:rPr>
        <w:t xml:space="preserve"> involverer sivilt samfunn</w:t>
      </w:r>
      <w:r w:rsidRPr="009B2E6F">
        <w:rPr>
          <w:lang w:val="nn-NO"/>
        </w:rPr>
        <w:t xml:space="preserve">. Vi </w:t>
      </w:r>
      <w:r>
        <w:rPr>
          <w:lang w:val="nn-NO"/>
        </w:rPr>
        <w:t>ønskjer å nå ut til fleire dela</w:t>
      </w:r>
      <w:r w:rsidRPr="009B2E6F">
        <w:rPr>
          <w:lang w:val="nn-NO"/>
        </w:rPr>
        <w:t>r av sivilt samfunn, å involver</w:t>
      </w:r>
      <w:r>
        <w:rPr>
          <w:lang w:val="nn-NO"/>
        </w:rPr>
        <w:t>e</w:t>
      </w:r>
      <w:r w:rsidRPr="009B2E6F">
        <w:rPr>
          <w:lang w:val="nn-NO"/>
        </w:rPr>
        <w:t xml:space="preserve"> sivilt samfunn meir</w:t>
      </w:r>
      <w:r>
        <w:rPr>
          <w:lang w:val="nn-NO"/>
        </w:rPr>
        <w:t xml:space="preserve"> i arbeidet vårt, og å involvere</w:t>
      </w:r>
      <w:r w:rsidRPr="009B2E6F">
        <w:rPr>
          <w:lang w:val="nn-NO"/>
        </w:rPr>
        <w:t xml:space="preserve"> meir i heile prosessar –</w:t>
      </w:r>
      <w:r>
        <w:rPr>
          <w:lang w:val="nn-NO"/>
        </w:rPr>
        <w:t xml:space="preserve"> </w:t>
      </w:r>
      <w:r w:rsidRPr="009B2E6F">
        <w:rPr>
          <w:lang w:val="nn-NO"/>
        </w:rPr>
        <w:t xml:space="preserve">frå planlegging til gjennomføring og evaluering av </w:t>
      </w:r>
      <w:r>
        <w:rPr>
          <w:lang w:val="nn-NO"/>
        </w:rPr>
        <w:t xml:space="preserve">til dømes </w:t>
      </w:r>
      <w:r w:rsidRPr="009B2E6F">
        <w:rPr>
          <w:lang w:val="nn-NO"/>
        </w:rPr>
        <w:t xml:space="preserve">eit prosjekt. </w:t>
      </w:r>
      <w:r>
        <w:rPr>
          <w:lang w:val="nn-NO"/>
        </w:rPr>
        <w:t>I 2016 har plattforma blant anna blitt tatt i bruk i forbindelse med ombodet sitt arbeid med ny strategi for perioden 2017</w:t>
      </w:r>
      <w:r>
        <w:rPr>
          <w:lang w:val="nn-NO"/>
        </w:rPr>
        <w:noBreakHyphen/>
        <w:t>2021.</w:t>
      </w:r>
    </w:p>
    <w:p w:rsidR="0098414A" w:rsidRPr="00906E3B" w:rsidRDefault="0098414A" w:rsidP="0098414A">
      <w:pPr>
        <w:rPr>
          <w:lang w:val="nn-NO"/>
        </w:rPr>
      </w:pPr>
    </w:p>
    <w:p w:rsidR="005E22A0" w:rsidRDefault="0098414A" w:rsidP="005E22A0">
      <w:pPr>
        <w:rPr>
          <w:lang w:val="nn-NO"/>
        </w:rPr>
      </w:pPr>
      <w:r w:rsidRPr="00906E3B">
        <w:rPr>
          <w:lang w:val="nn-NO"/>
        </w:rPr>
        <w:t xml:space="preserve">LDO har eit brukarutval. Det er samansett av </w:t>
      </w:r>
      <w:r>
        <w:rPr>
          <w:lang w:val="nn-NO"/>
        </w:rPr>
        <w:t xml:space="preserve">representantar for </w:t>
      </w:r>
      <w:r w:rsidRPr="00906E3B">
        <w:rPr>
          <w:lang w:val="nn-NO"/>
        </w:rPr>
        <w:t>relevante interesseorganisasjonar og brukargruppe</w:t>
      </w:r>
      <w:r>
        <w:rPr>
          <w:lang w:val="nn-NO"/>
        </w:rPr>
        <w:t>r</w:t>
      </w:r>
      <w:r w:rsidRPr="00906E3B">
        <w:rPr>
          <w:lang w:val="nn-NO"/>
        </w:rPr>
        <w:t xml:space="preserve"> innanfor ombodet </w:t>
      </w:r>
      <w:r>
        <w:rPr>
          <w:lang w:val="nn-NO"/>
        </w:rPr>
        <w:t xml:space="preserve">sine </w:t>
      </w:r>
      <w:r w:rsidRPr="00906E3B">
        <w:rPr>
          <w:lang w:val="nn-NO"/>
        </w:rPr>
        <w:t>satsingsområde</w:t>
      </w:r>
      <w:r>
        <w:rPr>
          <w:lang w:val="nn-NO"/>
        </w:rPr>
        <w:t>r</w:t>
      </w:r>
      <w:r w:rsidRPr="00906E3B">
        <w:rPr>
          <w:lang w:val="nn-NO"/>
        </w:rPr>
        <w:t>. Formålet med utvalet er primært å styrke ombodet</w:t>
      </w:r>
      <w:r>
        <w:rPr>
          <w:lang w:val="nn-NO"/>
        </w:rPr>
        <w:t xml:space="preserve"> </w:t>
      </w:r>
      <w:r w:rsidRPr="00906E3B">
        <w:rPr>
          <w:lang w:val="nn-NO"/>
        </w:rPr>
        <w:t>s</w:t>
      </w:r>
      <w:r>
        <w:rPr>
          <w:lang w:val="nn-NO"/>
        </w:rPr>
        <w:t>in</w:t>
      </w:r>
      <w:r w:rsidRPr="00906E3B">
        <w:rPr>
          <w:lang w:val="nn-NO"/>
        </w:rPr>
        <w:t xml:space="preserve"> kunnskap om brukar</w:t>
      </w:r>
      <w:r>
        <w:rPr>
          <w:lang w:val="nn-NO"/>
        </w:rPr>
        <w:t>ane sine erfaringar</w:t>
      </w:r>
      <w:r w:rsidRPr="00906E3B">
        <w:rPr>
          <w:lang w:val="nn-NO"/>
        </w:rPr>
        <w:t xml:space="preserve">. Formålet er </w:t>
      </w:r>
      <w:r>
        <w:rPr>
          <w:lang w:val="nn-NO"/>
        </w:rPr>
        <w:t xml:space="preserve">også </w:t>
      </w:r>
      <w:r w:rsidRPr="00906E3B">
        <w:rPr>
          <w:lang w:val="nn-NO"/>
        </w:rPr>
        <w:t>å utvikle forståinga for kompleksiteten i diskrimineringa som skjer, samt skape god forankring og gjennomslag for det samarbeidet, både i ombodet og utvalsmedlemmene</w:t>
      </w:r>
      <w:r>
        <w:rPr>
          <w:lang w:val="nn-NO"/>
        </w:rPr>
        <w:t xml:space="preserve"> </w:t>
      </w:r>
      <w:r w:rsidRPr="00906E3B">
        <w:rPr>
          <w:lang w:val="nn-NO"/>
        </w:rPr>
        <w:t>s</w:t>
      </w:r>
      <w:r>
        <w:rPr>
          <w:lang w:val="nn-NO"/>
        </w:rPr>
        <w:t>ine</w:t>
      </w:r>
      <w:r w:rsidRPr="00906E3B">
        <w:rPr>
          <w:lang w:val="nn-NO"/>
        </w:rPr>
        <w:t xml:space="preserve"> organisasjonar og nettverk.</w:t>
      </w:r>
      <w:r>
        <w:rPr>
          <w:lang w:val="nn-NO"/>
        </w:rPr>
        <w:t xml:space="preserve"> Bruka</w:t>
      </w:r>
      <w:r w:rsidRPr="00906E3B">
        <w:rPr>
          <w:lang w:val="nn-NO"/>
        </w:rPr>
        <w:t xml:space="preserve">rutvalet består av </w:t>
      </w:r>
      <w:r w:rsidRPr="007A2B3C">
        <w:rPr>
          <w:lang w:val="nn-NO"/>
        </w:rPr>
        <w:t>14</w:t>
      </w:r>
      <w:r w:rsidRPr="00906E3B">
        <w:rPr>
          <w:lang w:val="nn-NO"/>
        </w:rPr>
        <w:t xml:space="preserve"> ressurspersonar med brei kunnskap og kompetanse.</w:t>
      </w:r>
    </w:p>
    <w:p w:rsidR="005E22A0" w:rsidRDefault="005E22A0" w:rsidP="005E22A0">
      <w:pPr>
        <w:rPr>
          <w:lang w:val="nn-NO"/>
        </w:rPr>
      </w:pPr>
    </w:p>
    <w:p w:rsidR="0098414A" w:rsidRPr="002C58B3" w:rsidRDefault="0098414A" w:rsidP="005E22A0">
      <w:pPr>
        <w:rPr>
          <w:lang w:val="nn-NO"/>
        </w:rPr>
      </w:pPr>
      <w:r w:rsidRPr="002C58B3">
        <w:rPr>
          <w:lang w:val="nn-NO"/>
        </w:rPr>
        <w:t>I 2016 blei det gjennomført fleire møter. Tema som var oppe var blant anna rapportering til FN</w:t>
      </w:r>
      <w:r>
        <w:rPr>
          <w:lang w:val="nn-NO"/>
        </w:rPr>
        <w:t xml:space="preserve"> </w:t>
      </w:r>
      <w:r w:rsidRPr="002C58B3">
        <w:rPr>
          <w:lang w:val="nn-NO"/>
        </w:rPr>
        <w:t>s</w:t>
      </w:r>
      <w:r>
        <w:rPr>
          <w:lang w:val="nn-NO"/>
        </w:rPr>
        <w:t>in</w:t>
      </w:r>
      <w:r w:rsidRPr="002C58B3">
        <w:rPr>
          <w:lang w:val="nn-NO"/>
        </w:rPr>
        <w:t xml:space="preserve"> kvinnekomité, sivilt samfunns innvolvering i likestillings- og diskrimineringsarbeide</w:t>
      </w:r>
      <w:r>
        <w:rPr>
          <w:lang w:val="nn-NO"/>
        </w:rPr>
        <w:t>t</w:t>
      </w:r>
      <w:r w:rsidRPr="002C58B3">
        <w:rPr>
          <w:lang w:val="nn-NO"/>
        </w:rPr>
        <w:t xml:space="preserve"> og </w:t>
      </w:r>
      <w:r w:rsidRPr="006C25E3">
        <w:rPr>
          <w:lang w:val="nn-NO"/>
        </w:rPr>
        <w:t xml:space="preserve">temaer som </w:t>
      </w:r>
      <w:r>
        <w:rPr>
          <w:lang w:val="nn-NO"/>
        </w:rPr>
        <w:t xml:space="preserve">dei mente </w:t>
      </w:r>
      <w:r w:rsidRPr="006C25E3">
        <w:rPr>
          <w:lang w:val="nn-NO"/>
        </w:rPr>
        <w:t>omb</w:t>
      </w:r>
      <w:r>
        <w:rPr>
          <w:lang w:val="nn-NO"/>
        </w:rPr>
        <w:t>o</w:t>
      </w:r>
      <w:r w:rsidRPr="006C25E3">
        <w:rPr>
          <w:lang w:val="nn-NO"/>
        </w:rPr>
        <w:t>det b</w:t>
      </w:r>
      <w:r>
        <w:rPr>
          <w:lang w:val="nn-NO"/>
        </w:rPr>
        <w:t>urde</w:t>
      </w:r>
      <w:r w:rsidRPr="006C25E3">
        <w:rPr>
          <w:lang w:val="nn-NO"/>
        </w:rPr>
        <w:t xml:space="preserve"> vurdere i strategiarbeidet til LDO fremover. Hva ser organisas</w:t>
      </w:r>
      <w:r>
        <w:rPr>
          <w:lang w:val="nn-NO"/>
        </w:rPr>
        <w:t>jonane som viktige milepæler fra</w:t>
      </w:r>
      <w:r w:rsidRPr="006C25E3">
        <w:rPr>
          <w:lang w:val="nn-NO"/>
        </w:rPr>
        <w:t>mover</w:t>
      </w:r>
      <w:r w:rsidRPr="002C58B3">
        <w:rPr>
          <w:lang w:val="nn-NO"/>
        </w:rPr>
        <w:t xml:space="preserve">. </w:t>
      </w:r>
      <w:r>
        <w:rPr>
          <w:lang w:val="nn-NO"/>
        </w:rPr>
        <w:t xml:space="preserve">Ombodet sitt brukerutval ble også bedt om å gi innspill om sin </w:t>
      </w:r>
      <w:r w:rsidRPr="00872777">
        <w:rPr>
          <w:sz w:val="23"/>
          <w:szCs w:val="23"/>
          <w:lang w:val="nn-NO"/>
        </w:rPr>
        <w:t>erfaring med involvering i myndigheitene sitt arbeid med likestilling. I tillegg var også i 2016 et av temaene «god rekruttering er likestilt rekruttering».</w:t>
      </w:r>
      <w:r>
        <w:rPr>
          <w:lang w:val="nn-NO"/>
        </w:rPr>
        <w:t xml:space="preserve"> O</w:t>
      </w:r>
      <w:r w:rsidRPr="002C58B3">
        <w:rPr>
          <w:lang w:val="nn-NO"/>
        </w:rPr>
        <w:t xml:space="preserve">mbodet </w:t>
      </w:r>
      <w:r>
        <w:rPr>
          <w:lang w:val="nn-NO"/>
        </w:rPr>
        <w:t>deltok og på</w:t>
      </w:r>
      <w:r w:rsidRPr="002C58B3">
        <w:rPr>
          <w:lang w:val="nn-NO"/>
        </w:rPr>
        <w:t xml:space="preserve"> brukerutvalget</w:t>
      </w:r>
      <w:r>
        <w:rPr>
          <w:lang w:val="nn-NO"/>
        </w:rPr>
        <w:t xml:space="preserve"> </w:t>
      </w:r>
      <w:r w:rsidRPr="002C58B3">
        <w:rPr>
          <w:lang w:val="nn-NO"/>
        </w:rPr>
        <w:t>s</w:t>
      </w:r>
      <w:r>
        <w:rPr>
          <w:lang w:val="nn-NO"/>
        </w:rPr>
        <w:t>itt</w:t>
      </w:r>
      <w:r w:rsidRPr="002C58B3">
        <w:rPr>
          <w:lang w:val="nn-NO"/>
        </w:rPr>
        <w:t xml:space="preserve"> arrangement om rekruttering i arbeidslivet</w:t>
      </w:r>
      <w:r>
        <w:rPr>
          <w:lang w:val="nn-NO"/>
        </w:rPr>
        <w:t xml:space="preserve"> under Arendalsuka i 2016</w:t>
      </w:r>
      <w:r w:rsidRPr="002C58B3">
        <w:rPr>
          <w:lang w:val="nn-NO"/>
        </w:rPr>
        <w:t xml:space="preserve">. </w:t>
      </w:r>
    </w:p>
    <w:p w:rsidR="0098414A" w:rsidRPr="00906E3B" w:rsidRDefault="0098414A" w:rsidP="0098414A">
      <w:pPr>
        <w:rPr>
          <w:lang w:val="nn-NO"/>
        </w:rPr>
      </w:pPr>
    </w:p>
    <w:p w:rsidR="0098414A" w:rsidRPr="007C179A" w:rsidRDefault="0098414A" w:rsidP="0098414A">
      <w:pPr>
        <w:spacing w:after="240"/>
        <w:rPr>
          <w:lang w:val="nn-NO"/>
        </w:rPr>
      </w:pPr>
      <w:r w:rsidRPr="00906E3B">
        <w:rPr>
          <w:lang w:val="nn-NO"/>
        </w:rPr>
        <w:t>LDO har hatt eit samarbeid med Krisesentersekretariatet i t</w:t>
      </w:r>
      <w:r>
        <w:rPr>
          <w:lang w:val="nn-NO"/>
        </w:rPr>
        <w:t>re</w:t>
      </w:r>
      <w:r w:rsidRPr="00906E3B">
        <w:rPr>
          <w:lang w:val="nn-NO"/>
        </w:rPr>
        <w:t xml:space="preserve"> år om kampanjen Taushet tar liv. </w:t>
      </w:r>
      <w:r w:rsidR="005E22A0">
        <w:rPr>
          <w:lang w:val="nn-NO"/>
        </w:rPr>
        <w:t>Sjå meir omfattande omtale på side 15.</w:t>
      </w:r>
    </w:p>
    <w:p w:rsidR="0098414A" w:rsidRDefault="0098414A" w:rsidP="0098414A">
      <w:pPr>
        <w:rPr>
          <w:b/>
          <w:lang w:val="nn-NO"/>
        </w:rPr>
      </w:pPr>
    </w:p>
    <w:p w:rsidR="0098414A" w:rsidRPr="00906E3B" w:rsidRDefault="0098414A" w:rsidP="006C5C63">
      <w:pPr>
        <w:pStyle w:val="Overskrift3"/>
      </w:pPr>
      <w:bookmarkStart w:id="21" w:name="_Toc476060723"/>
      <w:r w:rsidRPr="00906E3B">
        <w:t>Samarbeid med arbeidstakar- og arbeidsgjevarorganisasjonane</w:t>
      </w:r>
      <w:bookmarkEnd w:id="21"/>
    </w:p>
    <w:p w:rsidR="0098414A" w:rsidRDefault="0098414A" w:rsidP="0098414A">
      <w:pPr>
        <w:rPr>
          <w:lang w:val="nn-NO"/>
        </w:rPr>
      </w:pPr>
      <w:r w:rsidRPr="00906E3B">
        <w:rPr>
          <w:lang w:val="nn-NO"/>
        </w:rPr>
        <w:t>I arbeidet med diskriminering i arbeidslivet er samarbeid med arbeidstakar- og arbeidsgjev</w:t>
      </w:r>
      <w:r>
        <w:rPr>
          <w:lang w:val="nn-NO"/>
        </w:rPr>
        <w:t>a</w:t>
      </w:r>
      <w:r w:rsidRPr="00906E3B">
        <w:rPr>
          <w:lang w:val="nn-NO"/>
        </w:rPr>
        <w:t>rorganisasjonane avgjerande. Vi er jamleg i kontakt med organisasjonar i rettleiingsarbeidet, og held ofte kurs og foredrag for fagforeiningar.</w:t>
      </w:r>
    </w:p>
    <w:p w:rsidR="0098414A" w:rsidRDefault="0098414A" w:rsidP="0098414A">
      <w:pPr>
        <w:rPr>
          <w:lang w:val="nn-NO"/>
        </w:rPr>
      </w:pPr>
    </w:p>
    <w:p w:rsidR="0098414A" w:rsidRDefault="0098414A" w:rsidP="0098414A">
      <w:pPr>
        <w:rPr>
          <w:lang w:val="nn-NO"/>
        </w:rPr>
      </w:pPr>
      <w:r w:rsidRPr="006E3F2D">
        <w:rPr>
          <w:lang w:val="nn-NO"/>
        </w:rPr>
        <w:t>Vi har i 201</w:t>
      </w:r>
      <w:r>
        <w:rPr>
          <w:lang w:val="nn-NO"/>
        </w:rPr>
        <w:t>6</w:t>
      </w:r>
      <w:r w:rsidRPr="006E3F2D">
        <w:rPr>
          <w:lang w:val="nn-NO"/>
        </w:rPr>
        <w:t xml:space="preserve"> </w:t>
      </w:r>
      <w:r>
        <w:rPr>
          <w:lang w:val="nn-NO"/>
        </w:rPr>
        <w:t xml:space="preserve">fortsatt å </w:t>
      </w:r>
      <w:r w:rsidRPr="006E3F2D">
        <w:rPr>
          <w:lang w:val="nn-NO"/>
        </w:rPr>
        <w:t>prioriter</w:t>
      </w:r>
      <w:r>
        <w:rPr>
          <w:lang w:val="nn-NO"/>
        </w:rPr>
        <w:t>e</w:t>
      </w:r>
      <w:r w:rsidRPr="006E3F2D">
        <w:rPr>
          <w:lang w:val="nn-NO"/>
        </w:rPr>
        <w:t xml:space="preserve"> å få utvalde organisasjonar til å få på plass opplæring til tillitsvalde om likestilling og anti-diskriminering. </w:t>
      </w:r>
      <w:r>
        <w:rPr>
          <w:lang w:val="nn-NO"/>
        </w:rPr>
        <w:t>Ombodet</w:t>
      </w:r>
      <w:r w:rsidRPr="006E3F2D">
        <w:rPr>
          <w:lang w:val="nn-NO"/>
        </w:rPr>
        <w:t xml:space="preserve"> ser på saksomfanget at dette </w:t>
      </w:r>
      <w:r>
        <w:rPr>
          <w:lang w:val="nn-NO"/>
        </w:rPr>
        <w:t xml:space="preserve">fortsatt </w:t>
      </w:r>
      <w:r w:rsidRPr="006E3F2D">
        <w:rPr>
          <w:lang w:val="nn-NO"/>
        </w:rPr>
        <w:t>fører til at organisasjonane bringer fleire saker inn for ombodet, samt at vi i kontakten med org</w:t>
      </w:r>
      <w:r>
        <w:rPr>
          <w:lang w:val="nn-NO"/>
        </w:rPr>
        <w:t>anisasjona</w:t>
      </w:r>
      <w:r w:rsidRPr="006E3F2D">
        <w:rPr>
          <w:lang w:val="nn-NO"/>
        </w:rPr>
        <w:t>n</w:t>
      </w:r>
      <w:r>
        <w:rPr>
          <w:lang w:val="nn-NO"/>
        </w:rPr>
        <w:t>e</w:t>
      </w:r>
      <w:r w:rsidRPr="006E3F2D">
        <w:rPr>
          <w:lang w:val="nn-NO"/>
        </w:rPr>
        <w:t xml:space="preserve"> får betre kjennskap til utfordringane som er i arbeidslivet. Vi har stor tro på denne framgangsmåten i arbeidet for e</w:t>
      </w:r>
      <w:r>
        <w:rPr>
          <w:lang w:val="nn-NO"/>
        </w:rPr>
        <w:t>i</w:t>
      </w:r>
      <w:r w:rsidRPr="006E3F2D">
        <w:rPr>
          <w:lang w:val="nn-NO"/>
        </w:rPr>
        <w:t>t meir likestilt arbeidsliv. Målet er at organisasjonane på eige</w:t>
      </w:r>
      <w:r>
        <w:rPr>
          <w:lang w:val="nn-NO"/>
        </w:rPr>
        <w:t>n</w:t>
      </w:r>
      <w:r w:rsidRPr="006E3F2D">
        <w:rPr>
          <w:lang w:val="nn-NO"/>
        </w:rPr>
        <w:t xml:space="preserve"> hand skal overta opplæringa av tillitsvalde</w:t>
      </w:r>
      <w:r>
        <w:rPr>
          <w:lang w:val="nn-NO"/>
        </w:rPr>
        <w:t>, noe ombodet nå ser skjer i større grad</w:t>
      </w:r>
      <w:r w:rsidRPr="006E3F2D">
        <w:rPr>
          <w:lang w:val="nn-NO"/>
        </w:rPr>
        <w:t>.</w:t>
      </w:r>
      <w:r>
        <w:rPr>
          <w:lang w:val="nn-NO"/>
        </w:rPr>
        <w:t xml:space="preserve"> </w:t>
      </w:r>
    </w:p>
    <w:p w:rsidR="0098414A" w:rsidRDefault="0098414A" w:rsidP="0098414A">
      <w:pPr>
        <w:rPr>
          <w:lang w:val="nn-NO"/>
        </w:rPr>
      </w:pPr>
    </w:p>
    <w:p w:rsidR="0098414A" w:rsidRPr="00872777" w:rsidRDefault="0098414A" w:rsidP="0098414A">
      <w:r w:rsidRPr="00872777">
        <w:t xml:space="preserve">I 2016 hadde ombodet blant anna opplæring for alle hovudtillitsvalde i Sykepleierforbundet om graviditetsdiskriminering og opplæring om diskrimineringslovgivningen av alle saksbehandlerne i Sykepleierforbundet. Ombodet hadde også opplæring på alle basiskurs for </w:t>
      </w:r>
      <w:r w:rsidRPr="00872777">
        <w:lastRenderedPageBreak/>
        <w:t>nye tillitsvalde i Industri&amp;Energi. Dette arbeidet vil ombodet prioritere også i 2017. Vi arbeider nå med å få på plass et systematisk kurs-opplegg for opplæringa. I 2016 hadde ombodet blant anna et pilotkurs om seksuell trakassering.</w:t>
      </w:r>
    </w:p>
    <w:p w:rsidR="0098414A" w:rsidRPr="00872777" w:rsidRDefault="0098414A" w:rsidP="0098414A"/>
    <w:p w:rsidR="0098414A" w:rsidRPr="00760641" w:rsidRDefault="0098414A" w:rsidP="006C5C63">
      <w:pPr>
        <w:pStyle w:val="Overskrift3"/>
        <w:rPr>
          <w:lang w:val="nb-NO"/>
        </w:rPr>
      </w:pPr>
      <w:bookmarkStart w:id="22" w:name="_Toc476060724"/>
      <w:r w:rsidRPr="00760641">
        <w:rPr>
          <w:lang w:val="nb-NO"/>
        </w:rPr>
        <w:t>Samarbeidsprosjekt med Spania</w:t>
      </w:r>
      <w:bookmarkEnd w:id="22"/>
    </w:p>
    <w:p w:rsidR="0098414A" w:rsidRPr="00872777" w:rsidRDefault="0098414A" w:rsidP="0098414A">
      <w:r w:rsidRPr="00872777">
        <w:t>Ombodet hadde og i 2016 et samarbeid med spanske myndigheiter om kjønnslikestilling finansiert av EØS sin finansieringsmekanisme (EEA/Norway Grants). Dette har vært eit omfattande program og dekker blant anna kvinner sin tilgang til arbeidsmarkedet, likelønn, entreprenørskap, kvinner i leiarstillingar, kvinner i styrer, balansen mellom arbeidsliv og familieliv, og arbeid mot vald mot kvinner. Ombodet har i dette programmet og hatt et tett og godt samarbeid med den norske ambassaden i Madrid.</w:t>
      </w:r>
    </w:p>
    <w:p w:rsidR="0098414A" w:rsidRPr="00872777" w:rsidRDefault="0098414A" w:rsidP="0098414A"/>
    <w:p w:rsidR="0098414A" w:rsidRPr="00872777" w:rsidRDefault="0098414A" w:rsidP="0098414A">
      <w:r w:rsidRPr="00872777">
        <w:t>Til tross for ein politisk ustabil situasjon i Spania i 2016, er ein del aktiviteter gjennomført med suksess: Rapport med samanlikning av politikk og lovgiving på feltet kjønnsbasert vald i Spania, Norge og Island ble utarbeida av Aspacia, ein spansk organisasjon. LDO og spanske myndigheiter utvikla et samarbeidsprosjekt som tar sikte på å integrere kvinner som er ofre for kjønnsbasert vald i arbeidslivet, og dermed bryte ut av valden dei lever i. Som ein del av dette prosjektet blei det etablert eit pilotprosjekt i Sør Odal kommune, kor tre norske firmaer har forplikta seg til prosjektet for å finne metodar for å skaffe arbeid for kvinnene. Eit kurs for dei norske firmaene blei holdt i Spania med organisasjonar og bedrifter som har erfaring med tiltak for å skaffe arbeid for kvinner ramma av vald.</w:t>
      </w:r>
    </w:p>
    <w:p w:rsidR="0098414A" w:rsidRPr="00872777" w:rsidRDefault="0098414A" w:rsidP="0098414A"/>
    <w:p w:rsidR="0098414A" w:rsidRPr="005C31B3" w:rsidRDefault="0098414A" w:rsidP="0098414A">
      <w:pPr>
        <w:rPr>
          <w:lang w:val="nn-NO"/>
        </w:rPr>
      </w:pPr>
      <w:r w:rsidRPr="005C31B3">
        <w:rPr>
          <w:lang w:val="nn-NO"/>
        </w:rPr>
        <w:t>E</w:t>
      </w:r>
      <w:r>
        <w:rPr>
          <w:lang w:val="nn-NO"/>
        </w:rPr>
        <w:t>it anna prosjekt utvikla under programmet omfatta</w:t>
      </w:r>
      <w:r w:rsidRPr="005C31B3">
        <w:rPr>
          <w:lang w:val="nn-NO"/>
        </w:rPr>
        <w:t xml:space="preserve"> norske kvinner med rom og romani/tater-bakgrunn, i samarbeid med kvinner med samme bakgrunn i Spania. Som e</w:t>
      </w:r>
      <w:r>
        <w:rPr>
          <w:lang w:val="nn-NO"/>
        </w:rPr>
        <w:t>i</w:t>
      </w:r>
      <w:r w:rsidRPr="005C31B3">
        <w:rPr>
          <w:lang w:val="nn-NO"/>
        </w:rPr>
        <w:t>t resultat av dette har LDO etablert e</w:t>
      </w:r>
      <w:r>
        <w:rPr>
          <w:lang w:val="nn-NO"/>
        </w:rPr>
        <w:t>i</w:t>
      </w:r>
      <w:r w:rsidRPr="005C31B3">
        <w:rPr>
          <w:lang w:val="nn-NO"/>
        </w:rPr>
        <w:t>n arbeids</w:t>
      </w:r>
      <w:r>
        <w:rPr>
          <w:lang w:val="nn-NO"/>
        </w:rPr>
        <w:t>gruppe for rom og romani/tater-kvinner i Nor</w:t>
      </w:r>
      <w:r w:rsidRPr="005C31B3">
        <w:rPr>
          <w:lang w:val="nn-NO"/>
        </w:rPr>
        <w:t>e</w:t>
      </w:r>
      <w:r>
        <w:rPr>
          <w:lang w:val="nn-NO"/>
        </w:rPr>
        <w:t>g</w:t>
      </w:r>
      <w:r w:rsidRPr="005C31B3">
        <w:rPr>
          <w:lang w:val="nn-NO"/>
        </w:rPr>
        <w:t xml:space="preserve">. </w:t>
      </w:r>
      <w:r>
        <w:rPr>
          <w:lang w:val="nn-NO"/>
        </w:rPr>
        <w:t>Det blei også</w:t>
      </w:r>
      <w:r w:rsidRPr="005C31B3">
        <w:rPr>
          <w:lang w:val="nn-NO"/>
        </w:rPr>
        <w:t xml:space="preserve"> våren 2016 arrangert e</w:t>
      </w:r>
      <w:r>
        <w:rPr>
          <w:lang w:val="nn-NO"/>
        </w:rPr>
        <w:t>i</w:t>
      </w:r>
      <w:r w:rsidRPr="005C31B3">
        <w:rPr>
          <w:lang w:val="nn-NO"/>
        </w:rPr>
        <w:t>n studietur for kvi</w:t>
      </w:r>
      <w:r>
        <w:rPr>
          <w:lang w:val="nn-NO"/>
        </w:rPr>
        <w:t>nner i den norske ressursgruppa</w:t>
      </w:r>
      <w:r w:rsidRPr="005C31B3">
        <w:rPr>
          <w:lang w:val="nn-NO"/>
        </w:rPr>
        <w:t xml:space="preserve"> til Madrid og møter med det spanske nasjonale rådet for romanes for utveksling av e</w:t>
      </w:r>
      <w:r>
        <w:rPr>
          <w:lang w:val="nn-NO"/>
        </w:rPr>
        <w:t>rfaringa</w:t>
      </w:r>
      <w:r w:rsidRPr="005C31B3">
        <w:rPr>
          <w:lang w:val="nn-NO"/>
        </w:rPr>
        <w:t xml:space="preserve">r. </w:t>
      </w:r>
    </w:p>
    <w:p w:rsidR="0098414A" w:rsidRPr="005C31B3" w:rsidRDefault="0098414A" w:rsidP="0098414A">
      <w:pPr>
        <w:rPr>
          <w:lang w:val="nn-NO"/>
        </w:rPr>
      </w:pPr>
    </w:p>
    <w:p w:rsidR="0098414A" w:rsidRPr="005C31B3" w:rsidRDefault="0098414A" w:rsidP="0098414A">
      <w:pPr>
        <w:rPr>
          <w:lang w:val="nn-NO"/>
        </w:rPr>
      </w:pPr>
      <w:r w:rsidRPr="005C31B3">
        <w:rPr>
          <w:i/>
          <w:lang w:val="nn-NO"/>
        </w:rPr>
        <w:t>Promociona</w:t>
      </w:r>
      <w:r w:rsidRPr="005C31B3">
        <w:rPr>
          <w:lang w:val="nn-NO"/>
        </w:rPr>
        <w:t>-prosjektet hadde som mål å få fle</w:t>
      </w:r>
      <w:r>
        <w:rPr>
          <w:lang w:val="nn-NO"/>
        </w:rPr>
        <w:t>ire kvinner inn i høga</w:t>
      </w:r>
      <w:r w:rsidRPr="005C31B3">
        <w:rPr>
          <w:lang w:val="nn-NO"/>
        </w:rPr>
        <w:t>re stilling</w:t>
      </w:r>
      <w:r>
        <w:rPr>
          <w:lang w:val="nn-NO"/>
        </w:rPr>
        <w:t>a</w:t>
      </w:r>
      <w:r w:rsidRPr="005C31B3">
        <w:rPr>
          <w:lang w:val="nn-NO"/>
        </w:rPr>
        <w:t>r. Det ble</w:t>
      </w:r>
      <w:r>
        <w:rPr>
          <w:lang w:val="nn-NO"/>
        </w:rPr>
        <w:t>i</w:t>
      </w:r>
      <w:r w:rsidRPr="005C31B3">
        <w:rPr>
          <w:lang w:val="nn-NO"/>
        </w:rPr>
        <w:t xml:space="preserve"> også arrangert e</w:t>
      </w:r>
      <w:r>
        <w:rPr>
          <w:lang w:val="nn-NO"/>
        </w:rPr>
        <w:t>i</w:t>
      </w:r>
      <w:r w:rsidRPr="005C31B3">
        <w:rPr>
          <w:lang w:val="nn-NO"/>
        </w:rPr>
        <w:t>n konferanse i</w:t>
      </w:r>
      <w:r>
        <w:rPr>
          <w:lang w:val="nn-NO"/>
        </w:rPr>
        <w:t xml:space="preserve"> Spania for å utveksle erfaringar og kunnskap mellom Nor</w:t>
      </w:r>
      <w:r w:rsidRPr="005C31B3">
        <w:rPr>
          <w:lang w:val="nn-NO"/>
        </w:rPr>
        <w:t>e</w:t>
      </w:r>
      <w:r>
        <w:rPr>
          <w:lang w:val="nn-NO"/>
        </w:rPr>
        <w:t>g</w:t>
      </w:r>
      <w:r w:rsidRPr="005C31B3">
        <w:rPr>
          <w:lang w:val="nn-NO"/>
        </w:rPr>
        <w:t xml:space="preserve"> og Spania. </w:t>
      </w:r>
    </w:p>
    <w:p w:rsidR="0098414A" w:rsidRPr="00872777" w:rsidRDefault="0098414A" w:rsidP="0098414A">
      <w:pPr>
        <w:rPr>
          <w:rFonts w:ascii="Georgia" w:hAnsi="Georgia"/>
          <w:lang w:val="nn-NO"/>
        </w:rPr>
      </w:pPr>
    </w:p>
    <w:p w:rsidR="0098414A" w:rsidRPr="00906E3B" w:rsidRDefault="0098414A" w:rsidP="006C5C63">
      <w:pPr>
        <w:pStyle w:val="Overskrift2"/>
      </w:pPr>
      <w:bookmarkStart w:id="23" w:name="_Toc476060725"/>
      <w:r w:rsidRPr="00906E3B">
        <w:t>Tilsyn med FN-konvensjonar</w:t>
      </w:r>
      <w:bookmarkEnd w:id="23"/>
    </w:p>
    <w:p w:rsidR="0098414A" w:rsidRDefault="0098414A" w:rsidP="0098414A">
      <w:pPr>
        <w:rPr>
          <w:lang w:val="nn-NO"/>
        </w:rPr>
      </w:pPr>
      <w:r w:rsidRPr="00906E3B">
        <w:rPr>
          <w:lang w:val="nn-NO"/>
        </w:rPr>
        <w:t>LDO skal endr</w:t>
      </w:r>
      <w:r>
        <w:rPr>
          <w:lang w:val="nn-NO"/>
        </w:rPr>
        <w:t>e</w:t>
      </w:r>
      <w:r w:rsidRPr="00906E3B">
        <w:rPr>
          <w:lang w:val="nn-NO"/>
        </w:rPr>
        <w:t xml:space="preserve"> struk</w:t>
      </w:r>
      <w:r>
        <w:rPr>
          <w:lang w:val="nn-NO"/>
        </w:rPr>
        <w:t>turane som er med å oppretthalde</w:t>
      </w:r>
      <w:r w:rsidRPr="00906E3B">
        <w:rPr>
          <w:lang w:val="nn-NO"/>
        </w:rPr>
        <w:t xml:space="preserve"> diskriminering og mangel på likestilling. I dette arbeidet må ombodet identifisera dei barrierane</w:t>
      </w:r>
      <w:r>
        <w:rPr>
          <w:lang w:val="nn-NO"/>
        </w:rPr>
        <w:t xml:space="preserve"> som er laga av samfunnet</w:t>
      </w:r>
      <w:r w:rsidRPr="00906E3B">
        <w:rPr>
          <w:lang w:val="nn-NO"/>
        </w:rPr>
        <w:t xml:space="preserve">, og </w:t>
      </w:r>
      <w:r>
        <w:rPr>
          <w:lang w:val="nn-NO"/>
        </w:rPr>
        <w:t>gjere</w:t>
      </w:r>
      <w:r w:rsidRPr="00906E3B">
        <w:rPr>
          <w:lang w:val="nn-NO"/>
        </w:rPr>
        <w:t xml:space="preserve"> gode analysar for å kunne foreslå endringar.</w:t>
      </w:r>
    </w:p>
    <w:p w:rsidR="0098414A" w:rsidRDefault="0098414A" w:rsidP="0098414A">
      <w:pPr>
        <w:rPr>
          <w:lang w:val="nn-NO"/>
        </w:rPr>
      </w:pPr>
    </w:p>
    <w:p w:rsidR="0098414A" w:rsidRPr="00906E3B" w:rsidRDefault="0098414A" w:rsidP="0098414A">
      <w:pPr>
        <w:rPr>
          <w:lang w:val="nn-NO"/>
        </w:rPr>
      </w:pPr>
      <w:r w:rsidRPr="00906E3B">
        <w:rPr>
          <w:lang w:val="nn-NO"/>
        </w:rPr>
        <w:t xml:space="preserve">Grunnlaget for endringsarbeidet </w:t>
      </w:r>
      <w:r>
        <w:rPr>
          <w:lang w:val="nn-NO"/>
        </w:rPr>
        <w:t>er først og fremst det lovfesta</w:t>
      </w:r>
      <w:r w:rsidRPr="00906E3B">
        <w:rPr>
          <w:lang w:val="nn-NO"/>
        </w:rPr>
        <w:t xml:space="preserve"> tilsynsansvaret LDO har for </w:t>
      </w:r>
      <w:r>
        <w:rPr>
          <w:lang w:val="nn-NO"/>
        </w:rPr>
        <w:t>FN sin k</w:t>
      </w:r>
      <w:r w:rsidRPr="00906E3B">
        <w:rPr>
          <w:lang w:val="nn-NO"/>
        </w:rPr>
        <w:t>vinnedisk</w:t>
      </w:r>
      <w:r>
        <w:rPr>
          <w:lang w:val="nn-NO"/>
        </w:rPr>
        <w:t>rimineringskonvensjon (CEDAW), F</w:t>
      </w:r>
      <w:r w:rsidRPr="00906E3B">
        <w:rPr>
          <w:lang w:val="nn-NO"/>
        </w:rPr>
        <w:t>N</w:t>
      </w:r>
      <w:r>
        <w:rPr>
          <w:lang w:val="nn-NO"/>
        </w:rPr>
        <w:t xml:space="preserve"> </w:t>
      </w:r>
      <w:r w:rsidRPr="00906E3B">
        <w:rPr>
          <w:lang w:val="nn-NO"/>
        </w:rPr>
        <w:t>s</w:t>
      </w:r>
      <w:r>
        <w:rPr>
          <w:lang w:val="nn-NO"/>
        </w:rPr>
        <w:t>in</w:t>
      </w:r>
      <w:r w:rsidRPr="00906E3B">
        <w:rPr>
          <w:lang w:val="nn-NO"/>
        </w:rPr>
        <w:t xml:space="preserve"> rasediskr</w:t>
      </w:r>
      <w:r>
        <w:rPr>
          <w:lang w:val="nn-NO"/>
        </w:rPr>
        <w:t>imineringskonvensjon (CERD) og F</w:t>
      </w:r>
      <w:r w:rsidRPr="00906E3B">
        <w:rPr>
          <w:lang w:val="nn-NO"/>
        </w:rPr>
        <w:t>N-konvensjonen for menneske med nedsett funksjonsevne (CRPD).</w:t>
      </w:r>
    </w:p>
    <w:p w:rsidR="0098414A" w:rsidRPr="00FC5C23" w:rsidRDefault="0098414A" w:rsidP="0098414A">
      <w:pPr>
        <w:rPr>
          <w:lang w:val="nn-NO"/>
        </w:rPr>
      </w:pPr>
      <w:r w:rsidRPr="00906E3B">
        <w:rPr>
          <w:lang w:val="nn-NO"/>
        </w:rPr>
        <w:br/>
        <w:t>For å sikre god og effektiv arbeidsfordeling med andre ansvarlege institusjonar, deltek ombodet i ein koordineringsgruppe med Nasjonal institusjon for menneskerettar, Barneombodet og Sivilombodsmannen. L</w:t>
      </w:r>
      <w:r>
        <w:rPr>
          <w:lang w:val="nn-NO"/>
        </w:rPr>
        <w:t>DO sat</w:t>
      </w:r>
      <w:r w:rsidRPr="00906E3B">
        <w:rPr>
          <w:lang w:val="nn-NO"/>
        </w:rPr>
        <w:t xml:space="preserve"> òg i </w:t>
      </w:r>
      <w:r>
        <w:rPr>
          <w:lang w:val="nn-NO"/>
        </w:rPr>
        <w:t>det rådgje</w:t>
      </w:r>
      <w:r w:rsidRPr="00906E3B">
        <w:rPr>
          <w:lang w:val="nn-NO"/>
        </w:rPr>
        <w:t xml:space="preserve">vande utvalet til Nasjonal </w:t>
      </w:r>
      <w:r w:rsidRPr="00906E3B">
        <w:rPr>
          <w:lang w:val="nn-NO"/>
        </w:rPr>
        <w:lastRenderedPageBreak/>
        <w:t>institusjon for menneske</w:t>
      </w:r>
      <w:r>
        <w:rPr>
          <w:lang w:val="nn-NO"/>
        </w:rPr>
        <w:t>rettar, og er medlem i det rådgje</w:t>
      </w:r>
      <w:r w:rsidRPr="00906E3B">
        <w:rPr>
          <w:lang w:val="nn-NO"/>
        </w:rPr>
        <w:t>vande utvalet for ny førebyggjande mek</w:t>
      </w:r>
      <w:r>
        <w:rPr>
          <w:lang w:val="nn-NO"/>
        </w:rPr>
        <w:t>anisme mot tortur og umenneskele</w:t>
      </w:r>
      <w:r w:rsidRPr="00906E3B">
        <w:rPr>
          <w:lang w:val="nn-NO"/>
        </w:rPr>
        <w:t xml:space="preserve">g og nedverdigande </w:t>
      </w:r>
      <w:r>
        <w:rPr>
          <w:lang w:val="nn-NO"/>
        </w:rPr>
        <w:t>behandling</w:t>
      </w:r>
      <w:r w:rsidRPr="00906E3B">
        <w:rPr>
          <w:lang w:val="nn-NO"/>
        </w:rPr>
        <w:t>.</w:t>
      </w:r>
    </w:p>
    <w:p w:rsidR="0098414A" w:rsidRDefault="0098414A" w:rsidP="0098414A">
      <w:pPr>
        <w:rPr>
          <w:b/>
          <w:lang w:val="nn-NO"/>
        </w:rPr>
      </w:pPr>
    </w:p>
    <w:p w:rsidR="0098414A" w:rsidRPr="00906E3B" w:rsidRDefault="0098414A" w:rsidP="006C5C63">
      <w:pPr>
        <w:pStyle w:val="Overskrift3"/>
      </w:pPr>
      <w:bookmarkStart w:id="24" w:name="_Toc476060726"/>
      <w:r w:rsidRPr="00906E3B">
        <w:t>Nasjonal og internasjonal rapportering</w:t>
      </w:r>
      <w:bookmarkEnd w:id="24"/>
    </w:p>
    <w:p w:rsidR="0098414A" w:rsidRPr="00906E3B" w:rsidRDefault="0098414A" w:rsidP="0098414A">
      <w:pPr>
        <w:rPr>
          <w:lang w:val="nn-NO"/>
        </w:rPr>
      </w:pPr>
      <w:r w:rsidRPr="00906E3B">
        <w:rPr>
          <w:lang w:val="nn-NO"/>
        </w:rPr>
        <w:t>Ombodet tek jamleg opp tilhøve med norske styresmakter som vi meiner er problematiske set</w:t>
      </w:r>
      <w:r>
        <w:rPr>
          <w:lang w:val="nn-NO"/>
        </w:rPr>
        <w:t>t</w:t>
      </w:r>
      <w:r w:rsidRPr="00906E3B">
        <w:rPr>
          <w:lang w:val="nn-NO"/>
        </w:rPr>
        <w:t xml:space="preserve"> opp mot forpliktingane etter dei tre konvensjonane vi har tilsynsansvar for.</w:t>
      </w:r>
    </w:p>
    <w:p w:rsidR="0098414A" w:rsidRPr="00906E3B" w:rsidRDefault="0098414A" w:rsidP="0098414A">
      <w:pPr>
        <w:rPr>
          <w:lang w:val="nn-NO"/>
        </w:rPr>
      </w:pPr>
    </w:p>
    <w:p w:rsidR="0098414A" w:rsidRPr="00906E3B" w:rsidRDefault="0098414A" w:rsidP="0098414A">
      <w:pPr>
        <w:rPr>
          <w:lang w:val="nn-NO"/>
        </w:rPr>
      </w:pPr>
      <w:r w:rsidRPr="00906E3B">
        <w:rPr>
          <w:lang w:val="nn-NO"/>
        </w:rPr>
        <w:t>Ombodet sin påpe</w:t>
      </w:r>
      <w:r>
        <w:rPr>
          <w:lang w:val="nn-NO"/>
        </w:rPr>
        <w:t>i</w:t>
      </w:r>
      <w:r w:rsidRPr="00906E3B">
        <w:rPr>
          <w:lang w:val="nn-NO"/>
        </w:rPr>
        <w:t xml:space="preserve">king av konvensjonsforpliktingane til staten i samband med høyringssvar, er ein viktig del av tilsynsansvaret, og den nasjonale rapporteringa. LDO </w:t>
      </w:r>
      <w:r>
        <w:rPr>
          <w:lang w:val="nn-NO"/>
        </w:rPr>
        <w:t>skriv</w:t>
      </w:r>
      <w:r w:rsidRPr="00906E3B">
        <w:rPr>
          <w:lang w:val="nn-NO"/>
        </w:rPr>
        <w:t xml:space="preserve"> òg nasjonale rapportar på eige initiativ om </w:t>
      </w:r>
      <w:r>
        <w:rPr>
          <w:lang w:val="nn-NO"/>
        </w:rPr>
        <w:t>menneskerettsle</w:t>
      </w:r>
      <w:r w:rsidRPr="00906E3B">
        <w:rPr>
          <w:lang w:val="nn-NO"/>
        </w:rPr>
        <w:t>ge utfordringar som krev meir omfattande analyse. I tillegg til den nasjonale rapportering</w:t>
      </w:r>
      <w:r>
        <w:rPr>
          <w:lang w:val="nn-NO"/>
        </w:rPr>
        <w:t>a gir</w:t>
      </w:r>
      <w:r w:rsidRPr="00906E3B">
        <w:rPr>
          <w:lang w:val="nn-NO"/>
        </w:rPr>
        <w:t xml:space="preserve"> LDO uavhengige supplerande rapportar til </w:t>
      </w:r>
      <w:r>
        <w:rPr>
          <w:lang w:val="nn-NO"/>
        </w:rPr>
        <w:t>F</w:t>
      </w:r>
      <w:r w:rsidRPr="00906E3B">
        <w:rPr>
          <w:lang w:val="nn-NO"/>
        </w:rPr>
        <w:t xml:space="preserve">N-komiteane som overvaker dei konvensjonane vi har tilsynsansvaret for. Det vil seia at LDO sender eigne rapportar til CEDAW-komiteen, CERD-komiteen og CRPD-komiteen i samsvar med den rapporteringssyklus som gjeld for den norske statsrapporteringa. Vi </w:t>
      </w:r>
      <w:r>
        <w:rPr>
          <w:lang w:val="nn-NO"/>
        </w:rPr>
        <w:t>gir</w:t>
      </w:r>
      <w:r w:rsidRPr="00906E3B">
        <w:rPr>
          <w:lang w:val="nn-NO"/>
        </w:rPr>
        <w:t xml:space="preserve"> òg innspel t</w:t>
      </w:r>
      <w:r>
        <w:rPr>
          <w:lang w:val="nn-NO"/>
        </w:rPr>
        <w:t xml:space="preserve">il BLD for å bidra til at </w:t>
      </w:r>
      <w:r w:rsidRPr="00906E3B">
        <w:rPr>
          <w:lang w:val="nn-NO"/>
        </w:rPr>
        <w:t>staten</w:t>
      </w:r>
      <w:r>
        <w:rPr>
          <w:lang w:val="nn-NO"/>
        </w:rPr>
        <w:t xml:space="preserve"> sin rapport</w:t>
      </w:r>
      <w:r w:rsidRPr="00906E3B">
        <w:rPr>
          <w:lang w:val="nn-NO"/>
        </w:rPr>
        <w:t xml:space="preserve"> skal gje eit mest mogleg dekkande bilete av dei utfordringane Noreg har når det gjeld </w:t>
      </w:r>
      <w:r>
        <w:rPr>
          <w:lang w:val="nn-NO"/>
        </w:rPr>
        <w:t>å sikre rettar</w:t>
      </w:r>
      <w:r w:rsidRPr="00906E3B">
        <w:rPr>
          <w:lang w:val="nn-NO"/>
        </w:rPr>
        <w:t xml:space="preserve"> etter dei tre FN-konvensjonane.</w:t>
      </w:r>
    </w:p>
    <w:p w:rsidR="0098414A" w:rsidRPr="00906E3B" w:rsidRDefault="0098414A" w:rsidP="0098414A">
      <w:pPr>
        <w:rPr>
          <w:lang w:val="nn-NO"/>
        </w:rPr>
      </w:pPr>
    </w:p>
    <w:p w:rsidR="0098414A" w:rsidRDefault="0098414A" w:rsidP="0098414A">
      <w:pPr>
        <w:rPr>
          <w:lang w:val="nn-NO"/>
        </w:rPr>
      </w:pPr>
      <w:r w:rsidRPr="00906E3B">
        <w:rPr>
          <w:lang w:val="nn-NO"/>
        </w:rPr>
        <w:t xml:space="preserve">I </w:t>
      </w:r>
      <w:r>
        <w:rPr>
          <w:lang w:val="nn-NO"/>
        </w:rPr>
        <w:t xml:space="preserve">arbeidet med </w:t>
      </w:r>
      <w:r w:rsidRPr="00906E3B">
        <w:rPr>
          <w:lang w:val="nn-NO"/>
        </w:rPr>
        <w:t xml:space="preserve">rapportane til </w:t>
      </w:r>
      <w:r>
        <w:rPr>
          <w:lang w:val="nn-NO"/>
        </w:rPr>
        <w:t>FN,</w:t>
      </w:r>
      <w:r w:rsidRPr="00906E3B">
        <w:rPr>
          <w:lang w:val="nn-NO"/>
        </w:rPr>
        <w:t xml:space="preserve"> inviterer vi sivilt samfunn til konsultasjonsmøte. </w:t>
      </w:r>
    </w:p>
    <w:p w:rsidR="0098414A" w:rsidRPr="006C25E3" w:rsidRDefault="0098414A" w:rsidP="0098414A">
      <w:pPr>
        <w:spacing w:after="160" w:line="259" w:lineRule="auto"/>
        <w:rPr>
          <w:lang w:val="nn-NO"/>
        </w:rPr>
      </w:pPr>
    </w:p>
    <w:p w:rsidR="0098414A" w:rsidRDefault="00BB66A2" w:rsidP="0098414A">
      <w:pPr>
        <w:spacing w:after="160" w:line="259" w:lineRule="auto"/>
        <w:rPr>
          <w:lang w:val="nn-NO"/>
        </w:rPr>
      </w:pPr>
      <w:r>
        <w:rPr>
          <w:lang w:val="nn-NO"/>
        </w:rPr>
        <w:t>Ombo</w:t>
      </w:r>
      <w:r w:rsidR="0098414A" w:rsidRPr="006C25E3">
        <w:rPr>
          <w:lang w:val="nn-NO"/>
        </w:rPr>
        <w:t>det sen</w:t>
      </w:r>
      <w:r w:rsidR="00A00E8D">
        <w:rPr>
          <w:lang w:val="nn-NO"/>
        </w:rPr>
        <w:t>dte i juli 2016 inn sin supplera</w:t>
      </w:r>
      <w:r w:rsidR="0098414A" w:rsidRPr="006C25E3">
        <w:rPr>
          <w:lang w:val="nn-NO"/>
        </w:rPr>
        <w:t>nde rapport til FN</w:t>
      </w:r>
      <w:r w:rsidR="0098414A">
        <w:rPr>
          <w:lang w:val="nn-NO"/>
        </w:rPr>
        <w:t xml:space="preserve"> </w:t>
      </w:r>
      <w:r w:rsidR="0098414A" w:rsidRPr="006C25E3">
        <w:rPr>
          <w:lang w:val="nn-NO"/>
        </w:rPr>
        <w:t>s</w:t>
      </w:r>
      <w:r w:rsidR="0098414A">
        <w:rPr>
          <w:lang w:val="nn-NO"/>
        </w:rPr>
        <w:t>in</w:t>
      </w:r>
      <w:r w:rsidR="0098414A" w:rsidRPr="006C25E3">
        <w:rPr>
          <w:lang w:val="nn-NO"/>
        </w:rPr>
        <w:t xml:space="preserve"> komité for rett</w:t>
      </w:r>
      <w:r w:rsidR="0098414A">
        <w:rPr>
          <w:lang w:val="nn-NO"/>
        </w:rPr>
        <w:t>ane</w:t>
      </w:r>
      <w:r w:rsidR="0098414A" w:rsidRPr="006C25E3">
        <w:rPr>
          <w:lang w:val="nn-NO"/>
        </w:rPr>
        <w:t xml:space="preserve"> til person</w:t>
      </w:r>
      <w:r w:rsidR="0098414A">
        <w:rPr>
          <w:lang w:val="nn-NO"/>
        </w:rPr>
        <w:t>ar med nedse</w:t>
      </w:r>
      <w:r w:rsidR="0098414A" w:rsidRPr="006C25E3">
        <w:rPr>
          <w:lang w:val="nn-NO"/>
        </w:rPr>
        <w:t>tt funksjonse</w:t>
      </w:r>
      <w:r w:rsidR="0098414A">
        <w:rPr>
          <w:lang w:val="nn-NO"/>
        </w:rPr>
        <w:t>vne (CRPD-komiteen). Regjeringa</w:t>
      </w:r>
      <w:r w:rsidR="0098414A" w:rsidRPr="006C25E3">
        <w:rPr>
          <w:lang w:val="nn-NO"/>
        </w:rPr>
        <w:t xml:space="preserve"> rapporterte i 2015 til CRPD-komiteen. Det</w:t>
      </w:r>
      <w:r w:rsidR="0098414A">
        <w:rPr>
          <w:lang w:val="nn-NO"/>
        </w:rPr>
        <w:t>te var første gang etter at Nor</w:t>
      </w:r>
      <w:r w:rsidR="0098414A" w:rsidRPr="006C25E3">
        <w:rPr>
          <w:lang w:val="nn-NO"/>
        </w:rPr>
        <w:t>e</w:t>
      </w:r>
      <w:r w:rsidR="0098414A">
        <w:rPr>
          <w:lang w:val="nn-NO"/>
        </w:rPr>
        <w:t>g</w:t>
      </w:r>
      <w:r w:rsidR="0098414A" w:rsidRPr="006C25E3">
        <w:rPr>
          <w:lang w:val="nn-NO"/>
        </w:rPr>
        <w:t xml:space="preserve"> ratifiserte CRPD-konvensjonen.</w:t>
      </w:r>
      <w:r w:rsidR="0098414A">
        <w:rPr>
          <w:lang w:val="nn-NO"/>
        </w:rPr>
        <w:t xml:space="preserve"> Ombodet har rapportert inn at Nor</w:t>
      </w:r>
      <w:r w:rsidR="0098414A" w:rsidRPr="006C25E3">
        <w:rPr>
          <w:lang w:val="nn-NO"/>
        </w:rPr>
        <w:t>e</w:t>
      </w:r>
      <w:r w:rsidR="0098414A">
        <w:rPr>
          <w:lang w:val="nn-NO"/>
        </w:rPr>
        <w:t>g mangla</w:t>
      </w:r>
      <w:r w:rsidR="0098414A" w:rsidRPr="006C25E3">
        <w:rPr>
          <w:lang w:val="nn-NO"/>
        </w:rPr>
        <w:t>r e</w:t>
      </w:r>
      <w:r w:rsidR="0098414A">
        <w:rPr>
          <w:lang w:val="nn-NO"/>
        </w:rPr>
        <w:t>in</w:t>
      </w:r>
      <w:r w:rsidR="0098414A" w:rsidRPr="006C25E3">
        <w:rPr>
          <w:lang w:val="nn-NO"/>
        </w:rPr>
        <w:t xml:space="preserve"> politikk som sikr</w:t>
      </w:r>
      <w:r w:rsidR="0098414A">
        <w:rPr>
          <w:lang w:val="nn-NO"/>
        </w:rPr>
        <w:t>a</w:t>
      </w:r>
      <w:r w:rsidR="0098414A" w:rsidRPr="006C25E3">
        <w:rPr>
          <w:lang w:val="nn-NO"/>
        </w:rPr>
        <w:t xml:space="preserve">r </w:t>
      </w:r>
      <w:r w:rsidR="0098414A">
        <w:rPr>
          <w:lang w:val="nn-NO"/>
        </w:rPr>
        <w:t xml:space="preserve">at </w:t>
      </w:r>
      <w:r w:rsidR="0098414A" w:rsidRPr="006C25E3">
        <w:rPr>
          <w:lang w:val="nn-NO"/>
        </w:rPr>
        <w:t>individet</w:t>
      </w:r>
      <w:r w:rsidR="0098414A">
        <w:rPr>
          <w:lang w:val="nn-NO"/>
        </w:rPr>
        <w:t xml:space="preserve"> kan bestemme på eigen hand, som aktivt kjempa</w:t>
      </w:r>
      <w:r w:rsidR="0098414A" w:rsidRPr="006C25E3">
        <w:rPr>
          <w:lang w:val="nn-NO"/>
        </w:rPr>
        <w:t xml:space="preserve">r </w:t>
      </w:r>
      <w:r w:rsidR="0098414A">
        <w:rPr>
          <w:lang w:val="nn-NO"/>
        </w:rPr>
        <w:t>mot fordommar og stereotypiar og som systematisk gje</w:t>
      </w:r>
      <w:r w:rsidR="0098414A" w:rsidRPr="006C25E3">
        <w:rPr>
          <w:lang w:val="nn-NO"/>
        </w:rPr>
        <w:t>r samfunnet me</w:t>
      </w:r>
      <w:r w:rsidR="0098414A">
        <w:rPr>
          <w:lang w:val="nn-NO"/>
        </w:rPr>
        <w:t>ir tilgjengeleg og inkluderande. Dette er utdjupa med følga</w:t>
      </w:r>
      <w:r w:rsidR="0098414A" w:rsidRPr="006C25E3">
        <w:rPr>
          <w:lang w:val="nn-NO"/>
        </w:rPr>
        <w:t>nde tema:</w:t>
      </w:r>
      <w:r w:rsidR="0098414A" w:rsidRPr="0005625C">
        <w:rPr>
          <w:rFonts w:cstheme="minorHAnsi"/>
          <w:sz w:val="22"/>
        </w:rPr>
        <w:br/>
      </w:r>
    </w:p>
    <w:p w:rsidR="0098414A" w:rsidRPr="006C25E3" w:rsidRDefault="0098414A" w:rsidP="0098414A">
      <w:pPr>
        <w:pStyle w:val="Listeavsnitt"/>
        <w:numPr>
          <w:ilvl w:val="0"/>
          <w:numId w:val="11"/>
        </w:numPr>
        <w:rPr>
          <w:lang w:val="nn-NO"/>
        </w:rPr>
      </w:pPr>
      <w:r>
        <w:rPr>
          <w:lang w:val="nn-NO"/>
        </w:rPr>
        <w:t>Manglande</w:t>
      </w:r>
      <w:r w:rsidRPr="006C25E3">
        <w:rPr>
          <w:lang w:val="nn-NO"/>
        </w:rPr>
        <w:t xml:space="preserve"> kunnskap og dokumentasjon</w:t>
      </w:r>
    </w:p>
    <w:p w:rsidR="0098414A" w:rsidRPr="00872777" w:rsidRDefault="0098414A" w:rsidP="0098414A">
      <w:pPr>
        <w:pStyle w:val="Listeavsnitt"/>
        <w:numPr>
          <w:ilvl w:val="0"/>
          <w:numId w:val="11"/>
        </w:numPr>
      </w:pPr>
      <w:r w:rsidRPr="00872777">
        <w:t xml:space="preserve">Pasientar i psykisk helsevern er utsett for diskriminerande tvang </w:t>
      </w:r>
    </w:p>
    <w:p w:rsidR="0098414A" w:rsidRPr="006C25E3" w:rsidRDefault="0098414A" w:rsidP="0098414A">
      <w:pPr>
        <w:pStyle w:val="Listeavsnitt"/>
        <w:numPr>
          <w:ilvl w:val="0"/>
          <w:numId w:val="11"/>
        </w:numPr>
        <w:rPr>
          <w:lang w:val="nn-NO"/>
        </w:rPr>
      </w:pPr>
      <w:r>
        <w:rPr>
          <w:lang w:val="nn-NO"/>
        </w:rPr>
        <w:t>Persona</w:t>
      </w:r>
      <w:r w:rsidRPr="006C25E3">
        <w:rPr>
          <w:lang w:val="nn-NO"/>
        </w:rPr>
        <w:t>r me</w:t>
      </w:r>
      <w:r>
        <w:rPr>
          <w:lang w:val="nn-NO"/>
        </w:rPr>
        <w:t>d utviklingshemmingar og personar med demens er utse</w:t>
      </w:r>
      <w:r w:rsidRPr="006C25E3">
        <w:rPr>
          <w:lang w:val="nn-NO"/>
        </w:rPr>
        <w:t>tt</w:t>
      </w:r>
      <w:r>
        <w:rPr>
          <w:lang w:val="nn-NO"/>
        </w:rPr>
        <w:t xml:space="preserve"> for tvang</w:t>
      </w:r>
    </w:p>
    <w:p w:rsidR="0098414A" w:rsidRPr="006C25E3" w:rsidRDefault="0098414A" w:rsidP="0098414A">
      <w:pPr>
        <w:pStyle w:val="Listeavsnitt"/>
        <w:numPr>
          <w:ilvl w:val="0"/>
          <w:numId w:val="11"/>
        </w:numPr>
        <w:rPr>
          <w:lang w:val="nn-NO"/>
        </w:rPr>
      </w:pPr>
      <w:r>
        <w:rPr>
          <w:lang w:val="nn-NO"/>
        </w:rPr>
        <w:t>Funksjonshemma</w:t>
      </w:r>
      <w:r w:rsidRPr="006C25E3">
        <w:rPr>
          <w:lang w:val="nn-NO"/>
        </w:rPr>
        <w:t xml:space="preserve"> får ikk</w:t>
      </w:r>
      <w:r>
        <w:rPr>
          <w:lang w:val="nn-NO"/>
        </w:rPr>
        <w:t xml:space="preserve">je </w:t>
      </w:r>
      <w:r w:rsidRPr="006C25E3">
        <w:rPr>
          <w:lang w:val="nn-NO"/>
        </w:rPr>
        <w:t>støtte som</w:t>
      </w:r>
      <w:r>
        <w:rPr>
          <w:lang w:val="nn-NO"/>
        </w:rPr>
        <w:t xml:space="preserve"> ivaretar deira rett til å bestemme sjøl</w:t>
      </w:r>
    </w:p>
    <w:p w:rsidR="0098414A" w:rsidRPr="006C25E3" w:rsidRDefault="0098414A" w:rsidP="0098414A">
      <w:pPr>
        <w:pStyle w:val="Listeavsnitt"/>
        <w:numPr>
          <w:ilvl w:val="0"/>
          <w:numId w:val="11"/>
        </w:numPr>
        <w:rPr>
          <w:lang w:val="nn-NO"/>
        </w:rPr>
      </w:pPr>
      <w:r>
        <w:rPr>
          <w:lang w:val="nn-NO"/>
        </w:rPr>
        <w:t>Funksjonshemma er utsett for vald og overgrep</w:t>
      </w:r>
    </w:p>
    <w:p w:rsidR="0098414A" w:rsidRPr="006C25E3" w:rsidRDefault="0098414A" w:rsidP="0098414A">
      <w:pPr>
        <w:pStyle w:val="Listeavsnitt"/>
        <w:numPr>
          <w:ilvl w:val="0"/>
          <w:numId w:val="11"/>
        </w:numPr>
        <w:rPr>
          <w:lang w:val="nn-NO"/>
        </w:rPr>
      </w:pPr>
      <w:r>
        <w:rPr>
          <w:lang w:val="nn-NO"/>
        </w:rPr>
        <w:t>Funksjonshemma</w:t>
      </w:r>
      <w:r w:rsidRPr="006C25E3">
        <w:rPr>
          <w:lang w:val="nn-NO"/>
        </w:rPr>
        <w:t xml:space="preserve"> er</w:t>
      </w:r>
      <w:r>
        <w:rPr>
          <w:lang w:val="nn-NO"/>
        </w:rPr>
        <w:t xml:space="preserve"> utse</w:t>
      </w:r>
      <w:r w:rsidRPr="006C25E3">
        <w:rPr>
          <w:lang w:val="nn-NO"/>
        </w:rPr>
        <w:t>tt for hets, trakassering og hatkriminalitet</w:t>
      </w:r>
    </w:p>
    <w:p w:rsidR="0098414A" w:rsidRPr="006C25E3" w:rsidRDefault="0098414A" w:rsidP="0098414A">
      <w:pPr>
        <w:pStyle w:val="Listeavsnitt"/>
        <w:numPr>
          <w:ilvl w:val="0"/>
          <w:numId w:val="11"/>
        </w:numPr>
        <w:rPr>
          <w:lang w:val="nn-NO"/>
        </w:rPr>
      </w:pPr>
      <w:r>
        <w:rPr>
          <w:lang w:val="nn-NO"/>
        </w:rPr>
        <w:t>Funksjonshemma blir</w:t>
      </w:r>
      <w:r w:rsidRPr="006C25E3">
        <w:rPr>
          <w:lang w:val="nn-NO"/>
        </w:rPr>
        <w:t xml:space="preserve"> diskriminer</w:t>
      </w:r>
      <w:r>
        <w:rPr>
          <w:lang w:val="nn-NO"/>
        </w:rPr>
        <w:t>t</w:t>
      </w:r>
      <w:r w:rsidRPr="006C25E3">
        <w:rPr>
          <w:lang w:val="nn-NO"/>
        </w:rPr>
        <w:t xml:space="preserve"> i arbeidslivet</w:t>
      </w:r>
    </w:p>
    <w:p w:rsidR="0098414A" w:rsidRPr="006C25E3" w:rsidRDefault="0098414A" w:rsidP="0098414A">
      <w:pPr>
        <w:pStyle w:val="Listeavsnitt"/>
        <w:numPr>
          <w:ilvl w:val="0"/>
          <w:numId w:val="11"/>
        </w:numPr>
        <w:rPr>
          <w:lang w:val="nn-NO"/>
        </w:rPr>
      </w:pPr>
      <w:r>
        <w:rPr>
          <w:lang w:val="nn-NO"/>
        </w:rPr>
        <w:t>Skola</w:t>
      </w:r>
      <w:r w:rsidRPr="006C25E3">
        <w:rPr>
          <w:lang w:val="nn-NO"/>
        </w:rPr>
        <w:t>r er ikk</w:t>
      </w:r>
      <w:r>
        <w:rPr>
          <w:lang w:val="nn-NO"/>
        </w:rPr>
        <w:t>je tilgjengele</w:t>
      </w:r>
      <w:r w:rsidRPr="006C25E3">
        <w:rPr>
          <w:lang w:val="nn-NO"/>
        </w:rPr>
        <w:t xml:space="preserve">ge for </w:t>
      </w:r>
      <w:r>
        <w:rPr>
          <w:lang w:val="nn-NO"/>
        </w:rPr>
        <w:t>eleva</w:t>
      </w:r>
      <w:r w:rsidRPr="006C25E3">
        <w:rPr>
          <w:lang w:val="nn-NO"/>
        </w:rPr>
        <w:t>r</w:t>
      </w:r>
      <w:r>
        <w:rPr>
          <w:lang w:val="nn-NO"/>
        </w:rPr>
        <w:t xml:space="preserve"> med nedsett evne til å bevega seg</w:t>
      </w:r>
    </w:p>
    <w:p w:rsidR="0098414A" w:rsidRDefault="0098414A" w:rsidP="0098414A">
      <w:pPr>
        <w:pStyle w:val="Listeavsnitt"/>
        <w:numPr>
          <w:ilvl w:val="0"/>
          <w:numId w:val="11"/>
        </w:numPr>
        <w:rPr>
          <w:lang w:val="nn-NO"/>
        </w:rPr>
      </w:pPr>
      <w:r>
        <w:rPr>
          <w:lang w:val="nn-NO"/>
        </w:rPr>
        <w:t>Funksjonshemma</w:t>
      </w:r>
      <w:r w:rsidRPr="006C25E3">
        <w:rPr>
          <w:lang w:val="nn-NO"/>
        </w:rPr>
        <w:t xml:space="preserve"> har ikk</w:t>
      </w:r>
      <w:r>
        <w:rPr>
          <w:lang w:val="nn-NO"/>
        </w:rPr>
        <w:t>j</w:t>
      </w:r>
      <w:r w:rsidRPr="006C25E3">
        <w:rPr>
          <w:lang w:val="nn-NO"/>
        </w:rPr>
        <w:t>e lik tilg</w:t>
      </w:r>
      <w:r>
        <w:rPr>
          <w:lang w:val="nn-NO"/>
        </w:rPr>
        <w:t>ang til informasjon, varer og t</w:t>
      </w:r>
      <w:r w:rsidR="002A0738">
        <w:rPr>
          <w:lang w:val="nn-NO"/>
        </w:rPr>
        <w:t>enester</w:t>
      </w:r>
    </w:p>
    <w:p w:rsidR="002A0738" w:rsidRDefault="002A0738" w:rsidP="0098414A">
      <w:pPr>
        <w:rPr>
          <w:lang w:val="nn-NO"/>
        </w:rPr>
      </w:pPr>
    </w:p>
    <w:p w:rsidR="0098414A" w:rsidRDefault="009A3616" w:rsidP="0098414A">
      <w:pPr>
        <w:rPr>
          <w:lang w:val="nn-NO"/>
        </w:rPr>
      </w:pPr>
      <w:r>
        <w:rPr>
          <w:lang w:val="nn-NO"/>
        </w:rPr>
        <w:br w:type="column"/>
      </w:r>
      <w:r w:rsidR="0098414A">
        <w:rPr>
          <w:lang w:val="nn-NO"/>
        </w:rPr>
        <w:lastRenderedPageBreak/>
        <w:t>I 2016 arbeida vi og med ombodet sin rapport til FN sin kvinnekomité. I rapporten tok vi opp fem tema, kor vi meinte det var behov for særlg merksemd. Disse er:</w:t>
      </w:r>
    </w:p>
    <w:p w:rsidR="00C22C57" w:rsidRDefault="00C22C57" w:rsidP="0098414A">
      <w:pPr>
        <w:rPr>
          <w:lang w:val="nn-NO"/>
        </w:rPr>
      </w:pPr>
    </w:p>
    <w:p w:rsidR="0098414A" w:rsidRPr="007D05B3" w:rsidRDefault="0098414A" w:rsidP="0098414A">
      <w:pPr>
        <w:pStyle w:val="Listeavsnitt"/>
        <w:numPr>
          <w:ilvl w:val="0"/>
          <w:numId w:val="15"/>
        </w:numPr>
        <w:rPr>
          <w:lang w:val="nn-NO"/>
        </w:rPr>
      </w:pPr>
      <w:r>
        <w:rPr>
          <w:lang w:val="nn-NO"/>
        </w:rPr>
        <w:t>Vald i nære relasjona</w:t>
      </w:r>
      <w:r w:rsidRPr="007D05B3">
        <w:rPr>
          <w:lang w:val="nn-NO"/>
        </w:rPr>
        <w:t>r</w:t>
      </w:r>
    </w:p>
    <w:p w:rsidR="0098414A" w:rsidRDefault="0098414A" w:rsidP="0098414A">
      <w:pPr>
        <w:pStyle w:val="Listeavsnitt"/>
        <w:numPr>
          <w:ilvl w:val="0"/>
          <w:numId w:val="15"/>
        </w:numPr>
        <w:rPr>
          <w:lang w:val="nn-NO"/>
        </w:rPr>
      </w:pPr>
      <w:r>
        <w:rPr>
          <w:lang w:val="nn-NO"/>
        </w:rPr>
        <w:t>Seksuell trakassering og seksualisert vald</w:t>
      </w:r>
    </w:p>
    <w:p w:rsidR="0098414A" w:rsidRDefault="0098414A" w:rsidP="0098414A">
      <w:pPr>
        <w:pStyle w:val="Listeavsnitt"/>
        <w:numPr>
          <w:ilvl w:val="0"/>
          <w:numId w:val="15"/>
        </w:numPr>
        <w:rPr>
          <w:lang w:val="nn-NO"/>
        </w:rPr>
      </w:pPr>
      <w:r>
        <w:rPr>
          <w:lang w:val="nn-NO"/>
        </w:rPr>
        <w:t>Hatytringar, digital trakassering og digital vald</w:t>
      </w:r>
    </w:p>
    <w:p w:rsidR="0098414A" w:rsidRDefault="0098414A" w:rsidP="0098414A">
      <w:pPr>
        <w:pStyle w:val="Listeavsnitt"/>
        <w:numPr>
          <w:ilvl w:val="0"/>
          <w:numId w:val="15"/>
        </w:numPr>
        <w:rPr>
          <w:lang w:val="nn-NO"/>
        </w:rPr>
      </w:pPr>
      <w:r>
        <w:rPr>
          <w:lang w:val="nn-NO"/>
        </w:rPr>
        <w:t>Menneskehandel</w:t>
      </w:r>
    </w:p>
    <w:p w:rsidR="0098414A" w:rsidRDefault="0098414A" w:rsidP="0098414A">
      <w:pPr>
        <w:pStyle w:val="Listeavsnitt"/>
        <w:numPr>
          <w:ilvl w:val="0"/>
          <w:numId w:val="15"/>
        </w:numPr>
        <w:rPr>
          <w:lang w:val="nn-NO"/>
        </w:rPr>
      </w:pPr>
      <w:r>
        <w:rPr>
          <w:lang w:val="nn-NO"/>
        </w:rPr>
        <w:t>Ulikestilling i arbeidslivet</w:t>
      </w:r>
    </w:p>
    <w:p w:rsidR="0098414A" w:rsidRDefault="0098414A" w:rsidP="0098414A">
      <w:pPr>
        <w:rPr>
          <w:lang w:val="nn-NO"/>
        </w:rPr>
      </w:pPr>
    </w:p>
    <w:p w:rsidR="0098414A" w:rsidRDefault="0098414A" w:rsidP="0098414A">
      <w:pPr>
        <w:rPr>
          <w:lang w:val="nn-NO"/>
        </w:rPr>
      </w:pPr>
      <w:r>
        <w:rPr>
          <w:lang w:val="nn-NO"/>
        </w:rPr>
        <w:t>Dette er områder som ombodet har særleg merksemd på i sitt arbeid. CEDAW-komiteen har dessutan tidlegare etterlyst sterkare innsats frå staten på fleire av disse områdene. I arbeidet med rapporten har ombodet konsultert sivilt samfunn. Rapporten blei lansert på nyåret 2017.</w:t>
      </w:r>
    </w:p>
    <w:p w:rsidR="0098414A" w:rsidRDefault="0098414A" w:rsidP="0098414A">
      <w:pPr>
        <w:rPr>
          <w:lang w:val="nn-NO"/>
        </w:rPr>
      </w:pPr>
    </w:p>
    <w:p w:rsidR="0098414A" w:rsidRPr="00E43647" w:rsidRDefault="0098414A" w:rsidP="0098414A">
      <w:pPr>
        <w:rPr>
          <w:lang w:val="nn-NO"/>
        </w:rPr>
      </w:pPr>
      <w:r>
        <w:rPr>
          <w:lang w:val="nn-NO"/>
        </w:rPr>
        <w:t>Vidare hadd</w:t>
      </w:r>
      <w:r w:rsidR="00BB66A2">
        <w:rPr>
          <w:lang w:val="nn-NO"/>
        </w:rPr>
        <w:t>e LDO i november 2016 ein todage</w:t>
      </w:r>
      <w:r>
        <w:rPr>
          <w:lang w:val="nn-NO"/>
        </w:rPr>
        <w:t>rs konferanse om hatkriminalitet. Første dag av konferansen var arrangert i samarbeid med ECRI og gjaldt ECRI sine merknader om Noreg. Andre dag av konferansen var eit samarbeid mellom LDO og LDO sitt hatkrimnettverk. Her var det innhenta ekspertar frå blant anna Sverige og Storbritannia for å fremme kunnskap om korleis ein kan arbeide meir effektivt mot hatkriminalitet. Statssekretærar frå både BLD og Justisdepartementet h</w:t>
      </w:r>
      <w:r w:rsidR="00BB66A2">
        <w:rPr>
          <w:lang w:val="nn-NO"/>
        </w:rPr>
        <w:t>e</w:t>
      </w:r>
      <w:r>
        <w:rPr>
          <w:lang w:val="nn-NO"/>
        </w:rPr>
        <w:t>ldt innlegg under konferansen.</w:t>
      </w:r>
    </w:p>
    <w:p w:rsidR="0098414A" w:rsidRDefault="0098414A" w:rsidP="0098414A">
      <w:pPr>
        <w:rPr>
          <w:lang w:val="nn-NO"/>
        </w:rPr>
      </w:pPr>
    </w:p>
    <w:p w:rsidR="0098414A" w:rsidRPr="00906E3B" w:rsidRDefault="0098414A" w:rsidP="006C5C63">
      <w:pPr>
        <w:pStyle w:val="Overskrift3"/>
      </w:pPr>
      <w:bookmarkStart w:id="25" w:name="_Toc476060727"/>
      <w:r>
        <w:t>Høyrings</w:t>
      </w:r>
      <w:r w:rsidR="006C5C63">
        <w:t>fråsegn</w:t>
      </w:r>
      <w:bookmarkEnd w:id="25"/>
    </w:p>
    <w:p w:rsidR="0098414A" w:rsidRDefault="0098414A" w:rsidP="0098414A">
      <w:pPr>
        <w:rPr>
          <w:lang w:val="nn-NO"/>
        </w:rPr>
      </w:pPr>
      <w:r w:rsidRPr="00906E3B">
        <w:rPr>
          <w:lang w:val="nn-NO"/>
        </w:rPr>
        <w:t xml:space="preserve">Høyringsarbeidet er nært </w:t>
      </w:r>
      <w:r>
        <w:rPr>
          <w:lang w:val="nn-NO"/>
        </w:rPr>
        <w:t>knytt</w:t>
      </w:r>
      <w:r w:rsidRPr="00906E3B">
        <w:rPr>
          <w:lang w:val="nn-NO"/>
        </w:rPr>
        <w:t xml:space="preserve"> til tilsynet ombodet </w:t>
      </w:r>
      <w:r>
        <w:rPr>
          <w:lang w:val="nn-NO"/>
        </w:rPr>
        <w:t xml:space="preserve">har </w:t>
      </w:r>
      <w:r w:rsidRPr="00906E3B">
        <w:rPr>
          <w:lang w:val="nn-NO"/>
        </w:rPr>
        <w:t xml:space="preserve">med </w:t>
      </w:r>
      <w:r>
        <w:rPr>
          <w:lang w:val="nn-NO"/>
        </w:rPr>
        <w:t>FN-</w:t>
      </w:r>
      <w:r w:rsidRPr="00906E3B">
        <w:rPr>
          <w:lang w:val="nn-NO"/>
        </w:rPr>
        <w:t>konvensjonane, og den nasjonale lovgivinga. Dei siste åra har vi i stor grad vektlagt konvensjonsforp</w:t>
      </w:r>
      <w:r>
        <w:rPr>
          <w:lang w:val="nn-NO"/>
        </w:rPr>
        <w:t xml:space="preserve">liktingane til styresmaktene. </w:t>
      </w:r>
      <w:r w:rsidRPr="00906E3B">
        <w:rPr>
          <w:lang w:val="nn-NO"/>
        </w:rPr>
        <w:t>LDO gav ei r</w:t>
      </w:r>
      <w:r>
        <w:rPr>
          <w:lang w:val="nn-NO"/>
        </w:rPr>
        <w:t>ekkje høyringssvar i 2016. Vi ønsk</w:t>
      </w:r>
      <w:r w:rsidRPr="00906E3B">
        <w:rPr>
          <w:lang w:val="nn-NO"/>
        </w:rPr>
        <w:t>er å trekk</w:t>
      </w:r>
      <w:r>
        <w:rPr>
          <w:lang w:val="nn-NO"/>
        </w:rPr>
        <w:t>e</w:t>
      </w:r>
      <w:r w:rsidRPr="00906E3B">
        <w:rPr>
          <w:lang w:val="nn-NO"/>
        </w:rPr>
        <w:t xml:space="preserve"> fram nokre </w:t>
      </w:r>
      <w:r>
        <w:rPr>
          <w:lang w:val="nn-NO"/>
        </w:rPr>
        <w:t>av dei</w:t>
      </w:r>
      <w:r w:rsidRPr="00906E3B">
        <w:rPr>
          <w:lang w:val="nn-NO"/>
        </w:rPr>
        <w:t>.</w:t>
      </w:r>
    </w:p>
    <w:p w:rsidR="0098414A" w:rsidRDefault="0098414A" w:rsidP="0098414A">
      <w:pPr>
        <w:rPr>
          <w:lang w:val="nn-NO"/>
        </w:rPr>
      </w:pPr>
    </w:p>
    <w:p w:rsidR="0098414A" w:rsidRDefault="0098414A" w:rsidP="0098414A">
      <w:pPr>
        <w:rPr>
          <w:lang w:val="nn-NO"/>
        </w:rPr>
      </w:pPr>
      <w:r>
        <w:rPr>
          <w:lang w:val="nn-NO"/>
        </w:rPr>
        <w:t>Vi avga høyring om forslag til endringar i utlendingsloven (innstramminger II). Ombodet ba regjeringa revurdere forslaga om innstrammingar i retten til familiegjenforening og innføring av krav til sjølforsørging som vilkår for varig opphald. Vi var kritiske til forslaget og framheva at det reiste spørsmål om brot på CRPD og CEDAW, fordi det ville ramme funksjonshemma og kvinnelege flyktningar uforholdsmessig hardt. Ombodet deltok også i munnleg høyring om forslaget på Stortinget</w:t>
      </w:r>
    </w:p>
    <w:p w:rsidR="0098414A" w:rsidRDefault="0098414A" w:rsidP="0098414A">
      <w:pPr>
        <w:rPr>
          <w:lang w:val="nn-NO"/>
        </w:rPr>
      </w:pPr>
    </w:p>
    <w:p w:rsidR="0098414A" w:rsidRDefault="0098414A" w:rsidP="0098414A">
      <w:pPr>
        <w:rPr>
          <w:lang w:val="nn-NO"/>
        </w:rPr>
      </w:pPr>
      <w:r>
        <w:rPr>
          <w:lang w:val="nn-NO"/>
        </w:rPr>
        <w:t>Vi avga høyring når det gjaldt forslag om norsk tilslutning til individuell klagemekanisme til FN sin konvensjon om rettane til personer med nedsett funksjonsevne. Ombodet tok til ordet for at Noreg burde tiltre den individuelle klagemekanismen, vi viste til at dette ville styrke rettstryggleiken for den enkelte, og at fleire nordiske land, som for eksempel Sverige og Danmark, har tiltrådt protokollen. Ombodet deltok også i open høyring om dette på Stortinget.</w:t>
      </w:r>
    </w:p>
    <w:p w:rsidR="0098414A" w:rsidRDefault="0098414A" w:rsidP="0098414A">
      <w:pPr>
        <w:rPr>
          <w:lang w:val="nn-NO"/>
        </w:rPr>
      </w:pPr>
    </w:p>
    <w:p w:rsidR="0098414A" w:rsidRPr="007A2B3C" w:rsidRDefault="0098414A" w:rsidP="0098414A">
      <w:pPr>
        <w:rPr>
          <w:lang w:val="nn-NO"/>
        </w:rPr>
      </w:pPr>
      <w:r>
        <w:rPr>
          <w:lang w:val="nn-NO"/>
        </w:rPr>
        <w:t xml:space="preserve">Ombodet deltok også i open høyring på Stortinget når det gjaldt innskrenkingar i åtgangen til å bruke tvang overfor personar med nedsett funksjonsevne av psykososial art. Ombodet støtta helseministeren sitt forslag om at ein bare kan ta i bruk tvang knytt til behandling i tilfeller kor pasienten manglar samtykkekompetanse. Ombodet framheva at dette var eit skritt i riktig retning, og samsvarar betre enn gjeldande rett med CRPD sin vektlegging av autonomi og rett til å bestemme sjølv. Ombodet framheva samtidig at det framleis står igjen utfordringar når </w:t>
      </w:r>
      <w:r>
        <w:rPr>
          <w:lang w:val="nn-NO"/>
        </w:rPr>
        <w:lastRenderedPageBreak/>
        <w:t>det gjeld vide heimler for tvang og rettstryggleik for personar som er alvorleg psykisk sjuke og at vi vil følgje opp saka vidare i samband med tvangslovutvalet, som ser på heile tvangslovgivninga på helsefeltet.</w:t>
      </w:r>
    </w:p>
    <w:p w:rsidR="0098414A" w:rsidRPr="00906E3B" w:rsidRDefault="0098414A" w:rsidP="0098414A">
      <w:pPr>
        <w:rPr>
          <w:lang w:val="nn-NO"/>
        </w:rPr>
      </w:pPr>
    </w:p>
    <w:p w:rsidR="0098414A" w:rsidRPr="00906E3B" w:rsidRDefault="0098414A" w:rsidP="006C5C63">
      <w:pPr>
        <w:pStyle w:val="Overskrift2"/>
      </w:pPr>
      <w:bookmarkStart w:id="26" w:name="_Toc476060728"/>
      <w:r w:rsidRPr="00906E3B">
        <w:t>LDO som kunnskapsorganisasjon</w:t>
      </w:r>
      <w:bookmarkEnd w:id="26"/>
    </w:p>
    <w:p w:rsidR="0098414A" w:rsidRPr="00906E3B" w:rsidRDefault="0098414A" w:rsidP="0098414A">
      <w:pPr>
        <w:rPr>
          <w:lang w:val="nn-NO"/>
        </w:rPr>
      </w:pPr>
      <w:r w:rsidRPr="00906E3B">
        <w:rPr>
          <w:lang w:val="nn-NO"/>
        </w:rPr>
        <w:t>For effektivt å nå måla våre er det viktig at vi stadig utviklar ombodet som kunnskapso</w:t>
      </w:r>
      <w:r>
        <w:rPr>
          <w:lang w:val="nn-NO"/>
        </w:rPr>
        <w:t>rganisasjon. Vi skal dokumentere</w:t>
      </w:r>
      <w:r w:rsidRPr="00906E3B">
        <w:rPr>
          <w:lang w:val="nn-NO"/>
        </w:rPr>
        <w:t>,</w:t>
      </w:r>
      <w:r>
        <w:rPr>
          <w:lang w:val="nn-NO"/>
        </w:rPr>
        <w:t xml:space="preserve"> systematisere og analysere</w:t>
      </w:r>
      <w:r w:rsidRPr="00906E3B">
        <w:rPr>
          <w:lang w:val="nn-NO"/>
        </w:rPr>
        <w:t xml:space="preserve"> kunnskap om kva som frem</w:t>
      </w:r>
      <w:r>
        <w:rPr>
          <w:lang w:val="nn-NO"/>
        </w:rPr>
        <w:t>mer</w:t>
      </w:r>
      <w:r w:rsidRPr="00906E3B">
        <w:rPr>
          <w:lang w:val="nn-NO"/>
        </w:rPr>
        <w:t xml:space="preserve"> likestilling </w:t>
      </w:r>
      <w:r>
        <w:rPr>
          <w:lang w:val="nn-NO"/>
        </w:rPr>
        <w:t>og hindra</w:t>
      </w:r>
      <w:r w:rsidRPr="00906E3B">
        <w:rPr>
          <w:lang w:val="nn-NO"/>
        </w:rPr>
        <w:t>r diskriminering, og bruk</w:t>
      </w:r>
      <w:r>
        <w:rPr>
          <w:lang w:val="nn-NO"/>
        </w:rPr>
        <w:t>e</w:t>
      </w:r>
      <w:r w:rsidRPr="00906E3B">
        <w:rPr>
          <w:lang w:val="nn-NO"/>
        </w:rPr>
        <w:t xml:space="preserve"> dei ulike verkemidla våre</w:t>
      </w:r>
      <w:r>
        <w:rPr>
          <w:lang w:val="nn-NO"/>
        </w:rPr>
        <w:t xml:space="preserve"> (klagebehandling</w:t>
      </w:r>
      <w:r w:rsidRPr="00906E3B">
        <w:rPr>
          <w:lang w:val="nn-NO"/>
        </w:rPr>
        <w:t xml:space="preserve">, rettleiing, </w:t>
      </w:r>
      <w:r>
        <w:rPr>
          <w:lang w:val="nn-NO"/>
        </w:rPr>
        <w:t>pådrivaroppgåver</w:t>
      </w:r>
      <w:r w:rsidRPr="00906E3B">
        <w:rPr>
          <w:lang w:val="nn-NO"/>
        </w:rPr>
        <w:t>, tilsyn og kommunikasjon) effektivt for å oppnå endring.</w:t>
      </w:r>
    </w:p>
    <w:p w:rsidR="0098414A" w:rsidRPr="00906E3B" w:rsidRDefault="0098414A" w:rsidP="0098414A">
      <w:pPr>
        <w:rPr>
          <w:lang w:val="nn-NO"/>
        </w:rPr>
      </w:pPr>
      <w:r w:rsidRPr="00906E3B">
        <w:rPr>
          <w:lang w:val="nn-NO"/>
        </w:rPr>
        <w:br/>
        <w:t>LDO</w:t>
      </w:r>
      <w:r>
        <w:rPr>
          <w:lang w:val="nn-NO"/>
        </w:rPr>
        <w:t xml:space="preserve"> </w:t>
      </w:r>
      <w:r w:rsidRPr="00906E3B">
        <w:rPr>
          <w:lang w:val="nn-NO"/>
        </w:rPr>
        <w:t>s</w:t>
      </w:r>
      <w:r>
        <w:rPr>
          <w:lang w:val="nn-NO"/>
        </w:rPr>
        <w:t>itt</w:t>
      </w:r>
      <w:r w:rsidRPr="00906E3B">
        <w:rPr>
          <w:lang w:val="nn-NO"/>
        </w:rPr>
        <w:t xml:space="preserve"> arbeid skal ta utgangspunkt i forsking på likestilling og </w:t>
      </w:r>
      <w:r w:rsidRPr="00994E4B">
        <w:rPr>
          <w:lang w:val="nn-NO"/>
        </w:rPr>
        <w:t>antidiskriminering</w:t>
      </w:r>
      <w:r w:rsidRPr="00906E3B">
        <w:rPr>
          <w:lang w:val="nn-NO"/>
        </w:rPr>
        <w:t xml:space="preserve">, </w:t>
      </w:r>
      <w:r>
        <w:rPr>
          <w:lang w:val="nn-NO"/>
        </w:rPr>
        <w:t>og analysar</w:t>
      </w:r>
      <w:r w:rsidRPr="00906E3B">
        <w:rPr>
          <w:lang w:val="nn-NO"/>
        </w:rPr>
        <w:t xml:space="preserve"> av dei </w:t>
      </w:r>
      <w:r w:rsidRPr="00994E4B">
        <w:rPr>
          <w:lang w:val="nn-NO"/>
        </w:rPr>
        <w:t>førespurnadene</w:t>
      </w:r>
      <w:r w:rsidRPr="00906E3B">
        <w:rPr>
          <w:lang w:val="nn-NO"/>
        </w:rPr>
        <w:t xml:space="preserve"> og sakene vi har til </w:t>
      </w:r>
      <w:r>
        <w:rPr>
          <w:lang w:val="nn-NO"/>
        </w:rPr>
        <w:t>behandling</w:t>
      </w:r>
      <w:r w:rsidRPr="00906E3B">
        <w:rPr>
          <w:lang w:val="nn-NO"/>
        </w:rPr>
        <w:t xml:space="preserve"> hos oss. I kombinasjon er dette basisen for tilsyns- og </w:t>
      </w:r>
      <w:r>
        <w:rPr>
          <w:lang w:val="nn-NO"/>
        </w:rPr>
        <w:t>pådriva</w:t>
      </w:r>
      <w:r w:rsidRPr="00906E3B">
        <w:rPr>
          <w:lang w:val="nn-NO"/>
        </w:rPr>
        <w:t>rarbeid</w:t>
      </w:r>
      <w:r>
        <w:rPr>
          <w:lang w:val="nn-NO"/>
        </w:rPr>
        <w:t>et</w:t>
      </w:r>
      <w:r w:rsidRPr="00906E3B">
        <w:rPr>
          <w:lang w:val="nn-NO"/>
        </w:rPr>
        <w:t>.</w:t>
      </w:r>
    </w:p>
    <w:p w:rsidR="0098414A" w:rsidRPr="00906E3B" w:rsidRDefault="0098414A" w:rsidP="0098414A">
      <w:pPr>
        <w:rPr>
          <w:lang w:val="nn-NO"/>
        </w:rPr>
      </w:pPr>
    </w:p>
    <w:p w:rsidR="0098414A" w:rsidRPr="00906E3B" w:rsidRDefault="0098414A" w:rsidP="0098414A">
      <w:pPr>
        <w:rPr>
          <w:lang w:val="nn-NO"/>
        </w:rPr>
      </w:pPr>
      <w:r w:rsidRPr="00906E3B">
        <w:rPr>
          <w:lang w:val="nn-NO"/>
        </w:rPr>
        <w:t xml:space="preserve">Vi </w:t>
      </w:r>
      <w:r>
        <w:rPr>
          <w:lang w:val="nn-NO"/>
        </w:rPr>
        <w:t xml:space="preserve">jobbar kontinuerleg med å halde </w:t>
      </w:r>
      <w:r w:rsidRPr="00906E3B">
        <w:rPr>
          <w:lang w:val="nn-NO"/>
        </w:rPr>
        <w:t xml:space="preserve">oss oppdatert på forsking innanfor områda våre, og er i dialog med ulike forskingsmiljø som CORE, </w:t>
      </w:r>
      <w:r>
        <w:rPr>
          <w:lang w:val="nn-NO"/>
        </w:rPr>
        <w:t>Avdeling for kvinnerett, barnerett, likestillings- og diskrimineringsrett (KVIBALD) ved Universitetet i Oslo</w:t>
      </w:r>
      <w:r w:rsidRPr="00906E3B">
        <w:rPr>
          <w:lang w:val="nn-NO"/>
        </w:rPr>
        <w:t xml:space="preserve"> og Arbeidsforskingsinstituttet.</w:t>
      </w:r>
    </w:p>
    <w:p w:rsidR="0098414A" w:rsidRPr="00906E3B" w:rsidRDefault="0098414A" w:rsidP="0098414A">
      <w:pPr>
        <w:rPr>
          <w:lang w:val="nn-NO"/>
        </w:rPr>
      </w:pPr>
    </w:p>
    <w:p w:rsidR="0098414A" w:rsidRPr="00906E3B" w:rsidRDefault="0098414A" w:rsidP="0098414A">
      <w:pPr>
        <w:rPr>
          <w:lang w:val="nn-NO"/>
        </w:rPr>
      </w:pPr>
      <w:r w:rsidRPr="00906E3B">
        <w:rPr>
          <w:lang w:val="nn-NO"/>
        </w:rPr>
        <w:t xml:space="preserve">Vi har eige fagansvarlege for viktige tema vi jobbar med. Ansvarsområda vert valt ut frå kva for tema vi får mange saker på, eller ut frå ei vurdering av at det er behov for </w:t>
      </w:r>
      <w:r>
        <w:rPr>
          <w:lang w:val="nn-NO"/>
        </w:rPr>
        <w:t xml:space="preserve">meir kunnskap </w:t>
      </w:r>
      <w:r w:rsidRPr="00906E3B">
        <w:rPr>
          <w:lang w:val="nn-NO"/>
        </w:rPr>
        <w:t>på området. Ein eller fleire tilsette får eit særskilt ansvar for å følgje</w:t>
      </w:r>
      <w:r>
        <w:rPr>
          <w:lang w:val="nn-NO"/>
        </w:rPr>
        <w:t xml:space="preserve"> </w:t>
      </w:r>
      <w:r w:rsidRPr="00906E3B">
        <w:rPr>
          <w:lang w:val="nn-NO"/>
        </w:rPr>
        <w:t>me</w:t>
      </w:r>
      <w:r>
        <w:rPr>
          <w:lang w:val="nn-NO"/>
        </w:rPr>
        <w:t>d på sakene på området</w:t>
      </w:r>
      <w:r w:rsidRPr="00906E3B">
        <w:rPr>
          <w:lang w:val="nn-NO"/>
        </w:rPr>
        <w:t xml:space="preserve"> og </w:t>
      </w:r>
      <w:r>
        <w:rPr>
          <w:lang w:val="nn-NO"/>
        </w:rPr>
        <w:t xml:space="preserve">på </w:t>
      </w:r>
      <w:r w:rsidRPr="00906E3B">
        <w:rPr>
          <w:lang w:val="nn-NO"/>
        </w:rPr>
        <w:t xml:space="preserve">ny ekstern kunnskap, til dømes forskingsrapportar. Vi jobbar med eit stort sakskompleks, med mange ulike tema. Fagansvar sikrar betre og meir relevant hjelp raskare. </w:t>
      </w:r>
      <w:r w:rsidRPr="00994E4B">
        <w:rPr>
          <w:lang w:val="nn-NO"/>
        </w:rPr>
        <w:t xml:space="preserve">Spesialiseringa </w:t>
      </w:r>
      <w:r w:rsidRPr="00906E3B">
        <w:rPr>
          <w:lang w:val="nn-NO"/>
        </w:rPr>
        <w:t>internt hjelper brukarane</w:t>
      </w:r>
      <w:r>
        <w:rPr>
          <w:lang w:val="nn-NO"/>
        </w:rPr>
        <w:t xml:space="preserve"> </w:t>
      </w:r>
      <w:r w:rsidRPr="00906E3B">
        <w:rPr>
          <w:lang w:val="nn-NO"/>
        </w:rPr>
        <w:t>våre eksternt. I 201</w:t>
      </w:r>
      <w:r>
        <w:rPr>
          <w:lang w:val="nn-NO"/>
        </w:rPr>
        <w:t>6</w:t>
      </w:r>
      <w:r w:rsidRPr="00906E3B">
        <w:rPr>
          <w:lang w:val="nn-NO"/>
        </w:rPr>
        <w:t xml:space="preserve"> </w:t>
      </w:r>
      <w:r>
        <w:rPr>
          <w:lang w:val="nn-NO"/>
        </w:rPr>
        <w:t>oppdaterte fagansvarlige fleire av våre rapporter.</w:t>
      </w:r>
      <w:r w:rsidRPr="00906E3B">
        <w:rPr>
          <w:lang w:val="nn-NO"/>
        </w:rPr>
        <w:t xml:space="preserve"> </w:t>
      </w:r>
    </w:p>
    <w:p w:rsidR="0098414A" w:rsidRPr="00906E3B" w:rsidRDefault="0098414A" w:rsidP="0098414A">
      <w:pPr>
        <w:rPr>
          <w:lang w:val="nn-NO"/>
        </w:rPr>
      </w:pPr>
    </w:p>
    <w:p w:rsidR="0098414A" w:rsidRPr="00906E3B" w:rsidRDefault="0098414A" w:rsidP="0098414A">
      <w:pPr>
        <w:rPr>
          <w:lang w:val="nn-NO"/>
        </w:rPr>
      </w:pPr>
      <w:r w:rsidRPr="00906E3B">
        <w:rPr>
          <w:lang w:val="nn-NO"/>
        </w:rPr>
        <w:t xml:space="preserve">I tillegg er det utvikla eit eige tilsynsansvar, der </w:t>
      </w:r>
      <w:r>
        <w:rPr>
          <w:lang w:val="nn-NO"/>
        </w:rPr>
        <w:t>tilse</w:t>
      </w:r>
      <w:r w:rsidRPr="00906E3B">
        <w:rPr>
          <w:lang w:val="nn-NO"/>
        </w:rPr>
        <w:t>tte er gjeve ansvar for å følgje med på utviklinga på særskilde område innanfor dei ulike konvensjonane ombodet har tilsynsansvar for.</w:t>
      </w:r>
      <w:r w:rsidRPr="00906E3B">
        <w:rPr>
          <w:lang w:val="nn-NO"/>
        </w:rPr>
        <w:br/>
      </w:r>
    </w:p>
    <w:p w:rsidR="0098414A" w:rsidRPr="00906E3B" w:rsidRDefault="0098414A" w:rsidP="0098414A">
      <w:pPr>
        <w:rPr>
          <w:lang w:val="nn-NO"/>
        </w:rPr>
      </w:pPr>
      <w:r w:rsidRPr="00906E3B">
        <w:rPr>
          <w:lang w:val="nn-NO"/>
        </w:rPr>
        <w:t>Ombodet har mange ulike verkemiddel vi brukar for å hjelp</w:t>
      </w:r>
      <w:r>
        <w:rPr>
          <w:lang w:val="nn-NO"/>
        </w:rPr>
        <w:t>e</w:t>
      </w:r>
      <w:r w:rsidRPr="00906E3B">
        <w:rPr>
          <w:lang w:val="nn-NO"/>
        </w:rPr>
        <w:t xml:space="preserve"> dei </w:t>
      </w:r>
      <w:r>
        <w:rPr>
          <w:lang w:val="nn-NO"/>
        </w:rPr>
        <w:t>som har blitt</w:t>
      </w:r>
      <w:r w:rsidRPr="00906E3B">
        <w:rPr>
          <w:lang w:val="nn-NO"/>
        </w:rPr>
        <w:t xml:space="preserve"> utsett for diskriminering og endra dei strukturane som fører til diskriminering. Vi organiserer arbeidet vårt på ein slik måte at verkemidla vert brukt mest mogleg effektivt. Dei fem avdelingane i</w:t>
      </w:r>
      <w:r>
        <w:rPr>
          <w:lang w:val="nn-NO"/>
        </w:rPr>
        <w:t xml:space="preserve"> </w:t>
      </w:r>
      <w:r w:rsidRPr="00906E3B">
        <w:rPr>
          <w:lang w:val="nn-NO"/>
        </w:rPr>
        <w:t xml:space="preserve">ombodet har ansvar for kvart </w:t>
      </w:r>
      <w:r>
        <w:rPr>
          <w:lang w:val="nn-NO"/>
        </w:rPr>
        <w:t xml:space="preserve">sitt </w:t>
      </w:r>
      <w:r w:rsidRPr="00906E3B">
        <w:rPr>
          <w:lang w:val="nn-NO"/>
        </w:rPr>
        <w:t>verkemid</w:t>
      </w:r>
      <w:r>
        <w:rPr>
          <w:lang w:val="nn-NO"/>
        </w:rPr>
        <w:t>del</w:t>
      </w:r>
      <w:r w:rsidRPr="00906E3B">
        <w:rPr>
          <w:lang w:val="nn-NO"/>
        </w:rPr>
        <w:t xml:space="preserve">. I tillegg organiserer vi arbeid i prosjekt, som hentar kompetanse frå </w:t>
      </w:r>
      <w:r>
        <w:rPr>
          <w:lang w:val="nn-NO"/>
        </w:rPr>
        <w:t xml:space="preserve">dei ulike </w:t>
      </w:r>
      <w:r w:rsidRPr="00906E3B">
        <w:rPr>
          <w:lang w:val="nn-NO"/>
        </w:rPr>
        <w:t>avdelingane.</w:t>
      </w:r>
    </w:p>
    <w:p w:rsidR="0098414A" w:rsidRDefault="0098414A" w:rsidP="0098414A">
      <w:pPr>
        <w:rPr>
          <w:lang w:val="nn-NO"/>
        </w:rPr>
      </w:pPr>
    </w:p>
    <w:p w:rsidR="0098414A" w:rsidRDefault="0098414A" w:rsidP="0098414A">
      <w:pPr>
        <w:rPr>
          <w:lang w:val="nn-NO"/>
        </w:rPr>
      </w:pPr>
      <w:r w:rsidRPr="00906E3B">
        <w:rPr>
          <w:lang w:val="nn-NO"/>
        </w:rPr>
        <w:t xml:space="preserve">Dei røynslene ombodet får gjennom </w:t>
      </w:r>
      <w:r w:rsidRPr="00894FF9">
        <w:rPr>
          <w:lang w:val="nn-NO"/>
        </w:rPr>
        <w:t>førespurnader</w:t>
      </w:r>
      <w:r>
        <w:rPr>
          <w:lang w:val="nn-NO"/>
        </w:rPr>
        <w:t xml:space="preserve"> frå enkelt</w:t>
      </w:r>
      <w:r w:rsidRPr="00906E3B">
        <w:rPr>
          <w:lang w:val="nn-NO"/>
        </w:rPr>
        <w:t xml:space="preserve">personar, har tyding for dei </w:t>
      </w:r>
      <w:r>
        <w:rPr>
          <w:lang w:val="nn-NO"/>
        </w:rPr>
        <w:t>andre</w:t>
      </w:r>
      <w:r w:rsidRPr="00906E3B">
        <w:rPr>
          <w:lang w:val="nn-NO"/>
        </w:rPr>
        <w:t xml:space="preserve"> </w:t>
      </w:r>
      <w:r>
        <w:rPr>
          <w:lang w:val="nn-NO"/>
        </w:rPr>
        <w:t xml:space="preserve">områda </w:t>
      </w:r>
      <w:r w:rsidRPr="00906E3B">
        <w:rPr>
          <w:lang w:val="nn-NO"/>
        </w:rPr>
        <w:t xml:space="preserve">til ombodet. Den nære tilknytinga </w:t>
      </w:r>
      <w:r>
        <w:rPr>
          <w:lang w:val="nn-NO"/>
        </w:rPr>
        <w:t xml:space="preserve">mellom </w:t>
      </w:r>
      <w:r w:rsidRPr="00906E3B">
        <w:rPr>
          <w:lang w:val="nn-NO"/>
        </w:rPr>
        <w:t>rettleiings- og klag</w:t>
      </w:r>
      <w:r>
        <w:rPr>
          <w:lang w:val="nn-NO"/>
        </w:rPr>
        <w:t xml:space="preserve">esakar gjer at vi kan identifisere </w:t>
      </w:r>
      <w:r w:rsidRPr="00906E3B">
        <w:rPr>
          <w:lang w:val="nn-NO"/>
        </w:rPr>
        <w:t xml:space="preserve">felles røynsler som kjenneteiknar eit område. Vi har til dømes </w:t>
      </w:r>
      <w:r>
        <w:rPr>
          <w:lang w:val="nn-NO"/>
        </w:rPr>
        <w:t>i utarbeiinga av ny strategi og merksemd på kva folk kontaktar ombodet om.</w:t>
      </w:r>
    </w:p>
    <w:p w:rsidR="0098414A" w:rsidRDefault="0098414A" w:rsidP="0098414A">
      <w:pPr>
        <w:rPr>
          <w:lang w:val="nn-NO"/>
        </w:rPr>
      </w:pPr>
    </w:p>
    <w:p w:rsidR="0098414A" w:rsidRPr="007C5C9F" w:rsidRDefault="0098414A" w:rsidP="006C5C63">
      <w:pPr>
        <w:pStyle w:val="Overskrift1"/>
        <w:rPr>
          <w:sz w:val="28"/>
          <w:szCs w:val="28"/>
        </w:rPr>
      </w:pPr>
      <w:bookmarkStart w:id="27" w:name="_Toc412749578"/>
      <w:bookmarkStart w:id="28" w:name="_Toc412749862"/>
      <w:r>
        <w:br w:type="column"/>
      </w:r>
      <w:bookmarkStart w:id="29" w:name="_Toc476060729"/>
      <w:r w:rsidRPr="007C5C9F">
        <w:lastRenderedPageBreak/>
        <w:t>Styring og kontroll i verksemda</w:t>
      </w:r>
      <w:bookmarkEnd w:id="29"/>
      <w:r>
        <w:t xml:space="preserve">  </w:t>
      </w:r>
    </w:p>
    <w:p w:rsidR="0098414A" w:rsidRPr="007C5C9F" w:rsidRDefault="0098414A" w:rsidP="006C5C63">
      <w:pPr>
        <w:pStyle w:val="Overskrift2"/>
        <w:rPr>
          <w:rFonts w:eastAsiaTheme="majorEastAsia"/>
        </w:rPr>
      </w:pPr>
      <w:bookmarkStart w:id="30" w:name="_Toc476060730"/>
      <w:r w:rsidRPr="007C5C9F">
        <w:rPr>
          <w:rFonts w:eastAsiaTheme="majorEastAsia"/>
        </w:rPr>
        <w:t>Styring og kontroll</w:t>
      </w:r>
      <w:bookmarkEnd w:id="30"/>
      <w:r w:rsidRPr="007C5C9F">
        <w:rPr>
          <w:rFonts w:eastAsiaTheme="majorEastAsia"/>
        </w:rPr>
        <w:t xml:space="preserve"> </w:t>
      </w:r>
    </w:p>
    <w:p w:rsidR="0098414A" w:rsidRDefault="0098414A" w:rsidP="0098414A">
      <w:pPr>
        <w:rPr>
          <w:lang w:val="nn-NO"/>
        </w:rPr>
      </w:pPr>
      <w:r w:rsidRPr="007C5C9F">
        <w:rPr>
          <w:lang w:val="nn-NO"/>
        </w:rPr>
        <w:t>LDO</w:t>
      </w:r>
      <w:r>
        <w:rPr>
          <w:lang w:val="nn-NO"/>
        </w:rPr>
        <w:t xml:space="preserve"> </w:t>
      </w:r>
      <w:r w:rsidRPr="007C5C9F">
        <w:rPr>
          <w:lang w:val="nn-NO"/>
        </w:rPr>
        <w:t>s</w:t>
      </w:r>
      <w:r>
        <w:rPr>
          <w:lang w:val="nn-NO"/>
        </w:rPr>
        <w:t>in</w:t>
      </w:r>
      <w:r w:rsidRPr="007C5C9F">
        <w:rPr>
          <w:lang w:val="nn-NO"/>
        </w:rPr>
        <w:t xml:space="preserve"> visjon er eit likestilt samfunn der makta og moglegheit for påverknad er likare fordelt, fridomen tilgjengeleg for alle og enkeltmennesket</w:t>
      </w:r>
      <w:r>
        <w:rPr>
          <w:lang w:val="nn-NO"/>
        </w:rPr>
        <w:t xml:space="preserve"> </w:t>
      </w:r>
      <w:r w:rsidRPr="007C5C9F">
        <w:rPr>
          <w:lang w:val="nn-NO"/>
        </w:rPr>
        <w:t>s</w:t>
      </w:r>
      <w:r>
        <w:rPr>
          <w:lang w:val="nn-NO"/>
        </w:rPr>
        <w:t>in</w:t>
      </w:r>
      <w:r w:rsidRPr="007C5C9F">
        <w:rPr>
          <w:lang w:val="nn-NO"/>
        </w:rPr>
        <w:t xml:space="preserve"> verdi ukrenkeleg. </w:t>
      </w:r>
      <w:r w:rsidRPr="007C5C9F">
        <w:t xml:space="preserve">I strategien for perioden 2014-2016 har LDO satt fem veivalg, </w:t>
      </w:r>
      <w:r>
        <w:t>se</w:t>
      </w:r>
      <w:r w:rsidRPr="007C5C9F">
        <w:t xml:space="preserve"> kapittel 3. </w:t>
      </w:r>
      <w:r>
        <w:rPr>
          <w:lang w:val="nn-NO"/>
        </w:rPr>
        <w:t>For best mogleg å oppnå mål</w:t>
      </w:r>
      <w:r w:rsidRPr="007C5C9F">
        <w:rPr>
          <w:lang w:val="nn-NO"/>
        </w:rPr>
        <w:t xml:space="preserve"> og resultat har vi i arbeidet med tryggleik og</w:t>
      </w:r>
      <w:r>
        <w:rPr>
          <w:lang w:val="nn-NO"/>
        </w:rPr>
        <w:t xml:space="preserve"> risikovurdering særleg hatt merksemd</w:t>
      </w:r>
      <w:r w:rsidRPr="007C5C9F">
        <w:rPr>
          <w:lang w:val="nn-NO"/>
        </w:rPr>
        <w:t xml:space="preserve"> på ei sikker IKT-drift, ei rask og effektiv saksbehandling med god kvalitet, tryggleik for våre tilsette og at LDO skal vere godt rusta for kriser. </w:t>
      </w:r>
      <w:r>
        <w:rPr>
          <w:lang w:val="nn-NO"/>
        </w:rPr>
        <w:t xml:space="preserve">Hausten 2016 har ombodet lagt ei ny strategi for perioden 2017-2022 med fem prioriterte områder: arbeid, skole og utdanning, helse og omsorg, kjønnsbasert vald og trakassering og hatytringar og hatkriminalitet. </w:t>
      </w:r>
    </w:p>
    <w:p w:rsidR="0098414A" w:rsidRPr="007C5C9F" w:rsidRDefault="0098414A" w:rsidP="0098414A">
      <w:pPr>
        <w:rPr>
          <w:lang w:val="nn-NO"/>
        </w:rPr>
      </w:pPr>
      <w:r>
        <w:rPr>
          <w:lang w:val="nn-NO"/>
        </w:rPr>
        <w:br/>
        <w:t>LDO fører rek</w:t>
      </w:r>
      <w:r w:rsidRPr="007C5C9F">
        <w:rPr>
          <w:lang w:val="nn-NO"/>
        </w:rPr>
        <w:t>n</w:t>
      </w:r>
      <w:r>
        <w:rPr>
          <w:lang w:val="nn-NO"/>
        </w:rPr>
        <w:t>e</w:t>
      </w:r>
      <w:r w:rsidRPr="007C5C9F">
        <w:rPr>
          <w:lang w:val="nn-NO"/>
        </w:rPr>
        <w:t>skap etter SRS – statle</w:t>
      </w:r>
      <w:r>
        <w:rPr>
          <w:lang w:val="nn-NO"/>
        </w:rPr>
        <w:t>g rekneskapsstandard. LDO sine rutinar innan økonomi og rek</w:t>
      </w:r>
      <w:r w:rsidRPr="007C5C9F">
        <w:rPr>
          <w:lang w:val="nn-NO"/>
        </w:rPr>
        <w:t>n</w:t>
      </w:r>
      <w:r>
        <w:rPr>
          <w:lang w:val="nn-NO"/>
        </w:rPr>
        <w:t>e</w:t>
      </w:r>
      <w:r w:rsidRPr="007C5C9F">
        <w:rPr>
          <w:lang w:val="nn-NO"/>
        </w:rPr>
        <w:t>skap skal bidra til sikke</w:t>
      </w:r>
      <w:r>
        <w:rPr>
          <w:lang w:val="nn-NO"/>
        </w:rPr>
        <w:t>r og effektiv drift og gjere ombodet</w:t>
      </w:r>
      <w:r w:rsidRPr="007C5C9F">
        <w:rPr>
          <w:lang w:val="nn-NO"/>
        </w:rPr>
        <w:t xml:space="preserve"> mindre sårbar.    </w:t>
      </w:r>
    </w:p>
    <w:p w:rsidR="0098414A" w:rsidRPr="007C5C9F" w:rsidRDefault="0098414A" w:rsidP="0098414A">
      <w:pPr>
        <w:spacing w:after="0"/>
        <w:rPr>
          <w:bCs/>
          <w:lang w:val="nn-NO"/>
        </w:rPr>
      </w:pPr>
    </w:p>
    <w:p w:rsidR="0098414A" w:rsidRPr="00AF1958" w:rsidRDefault="0098414A" w:rsidP="006C5C63">
      <w:pPr>
        <w:pStyle w:val="Overskrift3"/>
        <w:rPr>
          <w:rFonts w:eastAsiaTheme="majorEastAsia"/>
        </w:rPr>
      </w:pPr>
      <w:bookmarkStart w:id="31" w:name="_Toc476060731"/>
      <w:r w:rsidRPr="00AF1958">
        <w:rPr>
          <w:rFonts w:eastAsiaTheme="majorEastAsia"/>
        </w:rPr>
        <w:t>Sikker IKT-drift</w:t>
      </w:r>
      <w:bookmarkEnd w:id="31"/>
      <w:r w:rsidRPr="00AF1958">
        <w:rPr>
          <w:rFonts w:eastAsiaTheme="majorEastAsia"/>
        </w:rPr>
        <w:t xml:space="preserve">  </w:t>
      </w:r>
    </w:p>
    <w:p w:rsidR="0098414A" w:rsidRPr="00AF1958" w:rsidRDefault="0098414A" w:rsidP="0098414A">
      <w:pPr>
        <w:autoSpaceDE w:val="0"/>
        <w:autoSpaceDN w:val="0"/>
        <w:spacing w:before="0" w:after="0"/>
        <w:rPr>
          <w:rFonts w:eastAsiaTheme="minorHAnsi"/>
          <w:lang w:val="nn-NO"/>
        </w:rPr>
      </w:pPr>
      <w:r>
        <w:rPr>
          <w:rFonts w:eastAsiaTheme="minorHAnsi"/>
          <w:lang w:val="nn-NO"/>
        </w:rPr>
        <w:t>Vi viser</w:t>
      </w:r>
      <w:r w:rsidRPr="00AF1958">
        <w:rPr>
          <w:rFonts w:eastAsiaTheme="minorHAnsi"/>
          <w:lang w:val="nn-NO"/>
        </w:rPr>
        <w:t xml:space="preserve"> til Handlingsplan med spesifiserte tiltaksområder for informasjonssikkerhet i statsforvaltning</w:t>
      </w:r>
      <w:r w:rsidRPr="004D2D3D">
        <w:rPr>
          <w:rFonts w:eastAsiaTheme="minorHAnsi"/>
          <w:lang w:val="nn-NO"/>
        </w:rPr>
        <w:t>a</w:t>
      </w:r>
      <w:r w:rsidRPr="00AF1958">
        <w:rPr>
          <w:rFonts w:eastAsiaTheme="minorHAnsi"/>
          <w:lang w:val="nn-NO"/>
        </w:rPr>
        <w:t>. Drift og utv</w:t>
      </w:r>
      <w:r w:rsidRPr="004D2D3D">
        <w:rPr>
          <w:rFonts w:eastAsiaTheme="minorHAnsi"/>
          <w:lang w:val="nn-NO"/>
        </w:rPr>
        <w:t>e</w:t>
      </w:r>
      <w:r w:rsidRPr="00AF1958">
        <w:rPr>
          <w:rFonts w:eastAsiaTheme="minorHAnsi"/>
          <w:lang w:val="nn-NO"/>
        </w:rPr>
        <w:t>klingsavdeling</w:t>
      </w:r>
      <w:r w:rsidRPr="004D2D3D">
        <w:rPr>
          <w:rFonts w:eastAsiaTheme="minorHAnsi"/>
          <w:lang w:val="nn-NO"/>
        </w:rPr>
        <w:t>a</w:t>
      </w:r>
      <w:r>
        <w:rPr>
          <w:rFonts w:eastAsiaTheme="minorHAnsi"/>
          <w:lang w:val="nn-NO"/>
        </w:rPr>
        <w:t xml:space="preserve"> har det øv</w:t>
      </w:r>
      <w:r w:rsidRPr="00AF1958">
        <w:rPr>
          <w:rFonts w:eastAsiaTheme="minorHAnsi"/>
          <w:lang w:val="nn-NO"/>
        </w:rPr>
        <w:t>ste ansvaret når det gjeld system</w:t>
      </w:r>
      <w:r>
        <w:rPr>
          <w:rFonts w:eastAsiaTheme="minorHAnsi"/>
          <w:lang w:val="nn-NO"/>
        </w:rPr>
        <w:t xml:space="preserve"> og rutina</w:t>
      </w:r>
      <w:r w:rsidRPr="00AF1958">
        <w:rPr>
          <w:rFonts w:eastAsiaTheme="minorHAnsi"/>
          <w:lang w:val="nn-NO"/>
        </w:rPr>
        <w:t>r for informasjons</w:t>
      </w:r>
      <w:r>
        <w:rPr>
          <w:rFonts w:eastAsiaTheme="minorHAnsi"/>
          <w:lang w:val="nn-NO"/>
        </w:rPr>
        <w:t>tryggleik</w:t>
      </w:r>
      <w:r w:rsidRPr="00AF1958">
        <w:rPr>
          <w:rFonts w:eastAsiaTheme="minorHAnsi"/>
          <w:lang w:val="nn-NO"/>
        </w:rPr>
        <w:t xml:space="preserve">. </w:t>
      </w:r>
    </w:p>
    <w:p w:rsidR="0098414A" w:rsidRPr="00AF1958" w:rsidRDefault="0098414A" w:rsidP="0098414A">
      <w:pPr>
        <w:autoSpaceDE w:val="0"/>
        <w:autoSpaceDN w:val="0"/>
        <w:spacing w:before="0" w:after="0"/>
        <w:rPr>
          <w:rFonts w:eastAsiaTheme="minorHAnsi"/>
          <w:lang w:val="nn-NO"/>
        </w:rPr>
      </w:pPr>
    </w:p>
    <w:p w:rsidR="002A0738" w:rsidRDefault="002A0738" w:rsidP="0098414A">
      <w:pPr>
        <w:autoSpaceDE w:val="0"/>
        <w:autoSpaceDN w:val="0"/>
        <w:spacing w:before="0" w:after="0"/>
        <w:rPr>
          <w:rFonts w:eastAsiaTheme="minorHAnsi"/>
          <w:lang w:val="nn-NO"/>
        </w:rPr>
      </w:pPr>
    </w:p>
    <w:p w:rsidR="0098414A" w:rsidRPr="00AF1958" w:rsidRDefault="0098414A" w:rsidP="0098414A">
      <w:pPr>
        <w:autoSpaceDE w:val="0"/>
        <w:autoSpaceDN w:val="0"/>
        <w:spacing w:before="0" w:after="0"/>
        <w:rPr>
          <w:rFonts w:eastAsiaTheme="minorHAnsi"/>
        </w:rPr>
      </w:pPr>
      <w:r w:rsidRPr="00872777">
        <w:rPr>
          <w:rFonts w:eastAsiaTheme="minorHAnsi"/>
          <w:lang w:val="nn-NO"/>
        </w:rPr>
        <w:t xml:space="preserve">I 2016 har LDO valt fire av dei fem tiltaksområda. Vi har jobba med disse områda jamleg og skal følge opp i 2017. Disse er 1. Styring og kontroll, 2. Tryggleik i digitale tenester, 3. </w:t>
      </w:r>
      <w:r w:rsidRPr="00AF1958">
        <w:rPr>
          <w:rFonts w:eastAsiaTheme="minorHAnsi"/>
        </w:rPr>
        <w:t>D</w:t>
      </w:r>
      <w:r>
        <w:rPr>
          <w:rFonts w:eastAsiaTheme="minorHAnsi"/>
        </w:rPr>
        <w:t>igital beredskap og 4. Tryggleik</w:t>
      </w:r>
      <w:r w:rsidRPr="00AF1958">
        <w:rPr>
          <w:rFonts w:eastAsiaTheme="minorHAnsi"/>
        </w:rPr>
        <w:t xml:space="preserve"> i nasjonale felleskomponenter. </w:t>
      </w:r>
    </w:p>
    <w:p w:rsidR="0098414A" w:rsidRPr="00AF1958" w:rsidRDefault="0098414A" w:rsidP="0098414A">
      <w:pPr>
        <w:numPr>
          <w:ilvl w:val="0"/>
          <w:numId w:val="12"/>
        </w:numPr>
        <w:rPr>
          <w:rFonts w:eastAsiaTheme="minorHAnsi"/>
        </w:rPr>
      </w:pPr>
      <w:r w:rsidRPr="00AF1958">
        <w:rPr>
          <w:rFonts w:eastAsiaTheme="minorHAnsi"/>
        </w:rPr>
        <w:t>Styring og kontroll</w:t>
      </w:r>
    </w:p>
    <w:p w:rsidR="002A0738" w:rsidRDefault="002A0738" w:rsidP="0098414A">
      <w:pPr>
        <w:rPr>
          <w:rFonts w:eastAsiaTheme="minorHAnsi"/>
        </w:rPr>
      </w:pPr>
    </w:p>
    <w:p w:rsidR="0098414A" w:rsidRPr="00AF1958" w:rsidRDefault="0098414A" w:rsidP="0098414A">
      <w:pPr>
        <w:rPr>
          <w:rFonts w:eastAsiaTheme="minorHAnsi"/>
          <w:lang w:val="nn-NO"/>
        </w:rPr>
      </w:pPr>
      <w:r w:rsidRPr="00AF1958">
        <w:rPr>
          <w:rFonts w:eastAsiaTheme="minorHAnsi"/>
        </w:rPr>
        <w:t>I 2016 l</w:t>
      </w:r>
      <w:r w:rsidRPr="004D2D3D">
        <w:rPr>
          <w:rFonts w:eastAsiaTheme="minorHAnsi"/>
        </w:rPr>
        <w:t>a</w:t>
      </w:r>
      <w:r w:rsidRPr="00AF1958">
        <w:rPr>
          <w:rFonts w:eastAsiaTheme="minorHAnsi"/>
        </w:rPr>
        <w:t xml:space="preserve"> LDO vekt på å forsterke inngangskontroll og tilgangskontroll, sentralisert styringssystem, </w:t>
      </w:r>
      <w:r>
        <w:rPr>
          <w:rFonts w:eastAsiaTheme="minorHAnsi"/>
        </w:rPr>
        <w:t>spamfilter og oppdateringsrutina</w:t>
      </w:r>
      <w:r w:rsidRPr="00AF1958">
        <w:rPr>
          <w:rFonts w:eastAsiaTheme="minorHAnsi"/>
        </w:rPr>
        <w:t>r. LDO har også gjennomført en monit</w:t>
      </w:r>
      <w:r w:rsidRPr="004D2D3D">
        <w:rPr>
          <w:rFonts w:eastAsiaTheme="minorHAnsi"/>
        </w:rPr>
        <w:t>or</w:t>
      </w:r>
      <w:r w:rsidRPr="00AF1958">
        <w:rPr>
          <w:rFonts w:eastAsiaTheme="minorHAnsi"/>
        </w:rPr>
        <w:t xml:space="preserve">eringsprosess for å kunne effektivisere systemet. </w:t>
      </w:r>
      <w:r w:rsidRPr="00AF1958">
        <w:rPr>
          <w:rFonts w:eastAsiaTheme="minorHAnsi"/>
          <w:lang w:val="nn-NO"/>
        </w:rPr>
        <w:t xml:space="preserve">Dette </w:t>
      </w:r>
      <w:r w:rsidRPr="004D2D3D">
        <w:rPr>
          <w:rFonts w:eastAsiaTheme="minorHAnsi"/>
          <w:lang w:val="nn-NO"/>
        </w:rPr>
        <w:t xml:space="preserve">arbeidet </w:t>
      </w:r>
      <w:r w:rsidRPr="00AF1958">
        <w:rPr>
          <w:rFonts w:eastAsiaTheme="minorHAnsi"/>
          <w:lang w:val="nn-NO"/>
        </w:rPr>
        <w:t xml:space="preserve">vil LDO </w:t>
      </w:r>
      <w:r w:rsidRPr="004D2D3D">
        <w:rPr>
          <w:rFonts w:eastAsiaTheme="minorHAnsi"/>
          <w:lang w:val="nn-NO"/>
        </w:rPr>
        <w:t xml:space="preserve">halde fram med </w:t>
      </w:r>
      <w:r w:rsidRPr="00AF1958">
        <w:rPr>
          <w:rFonts w:eastAsiaTheme="minorHAnsi"/>
          <w:lang w:val="nn-NO"/>
        </w:rPr>
        <w:t>i 2017. I tillegg må alle nye medarbeidarar signere teielovnad.</w:t>
      </w:r>
      <w:r w:rsidRPr="004D2D3D">
        <w:rPr>
          <w:rFonts w:eastAsiaTheme="minorHAnsi"/>
          <w:lang w:val="nn-NO"/>
        </w:rPr>
        <w:t xml:space="preserve"> Alle</w:t>
      </w:r>
      <w:r w:rsidRPr="00AF1958">
        <w:rPr>
          <w:rFonts w:eastAsiaTheme="minorHAnsi"/>
          <w:lang w:val="nn-NO"/>
        </w:rPr>
        <w:t xml:space="preserve"> tilsette må signere LDO</w:t>
      </w:r>
      <w:r>
        <w:rPr>
          <w:rFonts w:eastAsiaTheme="minorHAnsi"/>
          <w:lang w:val="nn-NO"/>
        </w:rPr>
        <w:t xml:space="preserve"> </w:t>
      </w:r>
      <w:r w:rsidRPr="00AF1958">
        <w:rPr>
          <w:rFonts w:eastAsiaTheme="minorHAnsi"/>
          <w:lang w:val="nn-NO"/>
        </w:rPr>
        <w:t>s</w:t>
      </w:r>
      <w:r>
        <w:rPr>
          <w:rFonts w:eastAsiaTheme="minorHAnsi"/>
          <w:lang w:val="nn-NO"/>
        </w:rPr>
        <w:t>in</w:t>
      </w:r>
      <w:r w:rsidRPr="00AF1958">
        <w:rPr>
          <w:rFonts w:eastAsiaTheme="minorHAnsi"/>
          <w:lang w:val="nn-NO"/>
        </w:rPr>
        <w:t xml:space="preserve"> IKT-brukeravtale.</w:t>
      </w:r>
    </w:p>
    <w:p w:rsidR="0098414A" w:rsidRPr="00AF1958" w:rsidRDefault="0098414A" w:rsidP="0098414A">
      <w:pPr>
        <w:numPr>
          <w:ilvl w:val="0"/>
          <w:numId w:val="12"/>
        </w:numPr>
        <w:rPr>
          <w:rFonts w:eastAsiaTheme="minorHAnsi"/>
        </w:rPr>
      </w:pPr>
      <w:r>
        <w:rPr>
          <w:rFonts w:eastAsiaTheme="minorHAnsi"/>
        </w:rPr>
        <w:t>Tryggleik</w:t>
      </w:r>
      <w:r w:rsidRPr="00AF1958">
        <w:rPr>
          <w:rFonts w:eastAsiaTheme="minorHAnsi"/>
        </w:rPr>
        <w:t xml:space="preserve"> i digitale tenester og digital beredskap</w:t>
      </w:r>
    </w:p>
    <w:p w:rsidR="002A0738" w:rsidRDefault="002A0738" w:rsidP="0098414A">
      <w:pPr>
        <w:rPr>
          <w:rFonts w:eastAsiaTheme="minorHAnsi"/>
          <w:lang w:val="nn-NO"/>
        </w:rPr>
      </w:pPr>
    </w:p>
    <w:p w:rsidR="0098414A" w:rsidRPr="00872777" w:rsidRDefault="0098414A" w:rsidP="0098414A">
      <w:pPr>
        <w:rPr>
          <w:rFonts w:eastAsiaTheme="minorHAnsi"/>
          <w:lang w:val="nn-NO"/>
        </w:rPr>
      </w:pPr>
      <w:r w:rsidRPr="00872777">
        <w:rPr>
          <w:rFonts w:eastAsiaTheme="minorHAnsi"/>
          <w:lang w:val="nn-NO"/>
        </w:rPr>
        <w:t xml:space="preserve">I 2016 har LDO gjennomført rutinar på backup og årlege beredskapsøvingar. LDO gjennomfører IKT-kriseøvingar to gonger i året. Øvingane er basert på fire ulike scenario – straumbrot, brot av nett-kommunikasjon, øydelagte kontorlokalar og dataangrep. </w:t>
      </w:r>
    </w:p>
    <w:p w:rsidR="0098414A" w:rsidRPr="00AF1958" w:rsidRDefault="0098414A" w:rsidP="0098414A">
      <w:pPr>
        <w:numPr>
          <w:ilvl w:val="0"/>
          <w:numId w:val="12"/>
        </w:numPr>
        <w:rPr>
          <w:rFonts w:eastAsiaTheme="minorHAnsi"/>
        </w:rPr>
      </w:pPr>
      <w:r>
        <w:rPr>
          <w:rFonts w:eastAsiaTheme="minorHAnsi"/>
        </w:rPr>
        <w:t>Tryggleik</w:t>
      </w:r>
      <w:r w:rsidRPr="00AF1958">
        <w:rPr>
          <w:rFonts w:eastAsiaTheme="minorHAnsi"/>
        </w:rPr>
        <w:t xml:space="preserve"> i nasjonale felleskomponenter</w:t>
      </w:r>
    </w:p>
    <w:p w:rsidR="002A0738" w:rsidRDefault="002A0738" w:rsidP="0098414A">
      <w:pPr>
        <w:rPr>
          <w:rFonts w:eastAsiaTheme="minorHAnsi"/>
          <w:lang w:val="nn-NO"/>
        </w:rPr>
      </w:pPr>
    </w:p>
    <w:p w:rsidR="0098414A" w:rsidRPr="00872777" w:rsidRDefault="0098414A" w:rsidP="0098414A">
      <w:pPr>
        <w:rPr>
          <w:rFonts w:eastAsiaTheme="minorHAnsi"/>
          <w:lang w:val="nn-NO"/>
        </w:rPr>
      </w:pPr>
      <w:r w:rsidRPr="00872777">
        <w:rPr>
          <w:rFonts w:eastAsiaTheme="minorHAnsi"/>
          <w:lang w:val="nn-NO"/>
        </w:rPr>
        <w:t>I 2016 har LDO tatt i bruk felleskomponenter som Difi har laga. LDO gjekk over til fullelektronisk saksbehandling og arkiv i februar 2016. Sikker digital postkasse er ein integrert del av vårt saksbehandlingssystem. LDO har planar om å integrere ID-portalen og vurderer å innføre e-signatur i løpet av 2017.</w:t>
      </w:r>
    </w:p>
    <w:p w:rsidR="0098414A" w:rsidRPr="00872777" w:rsidRDefault="0098414A" w:rsidP="0098414A">
      <w:pPr>
        <w:rPr>
          <w:rFonts w:eastAsiaTheme="minorHAnsi"/>
          <w:color w:val="4472C4"/>
          <w:lang w:val="nn-NO"/>
        </w:rPr>
      </w:pPr>
    </w:p>
    <w:p w:rsidR="0098414A" w:rsidRPr="00872777" w:rsidRDefault="0098414A" w:rsidP="0098414A">
      <w:pPr>
        <w:autoSpaceDE w:val="0"/>
        <w:autoSpaceDN w:val="0"/>
        <w:spacing w:before="0" w:after="0"/>
        <w:rPr>
          <w:rFonts w:eastAsiaTheme="minorHAnsi"/>
          <w:lang w:val="nn-NO"/>
        </w:rPr>
      </w:pPr>
      <w:r w:rsidRPr="00872777">
        <w:rPr>
          <w:rFonts w:eastAsiaTheme="minorHAnsi"/>
          <w:lang w:val="nn-NO"/>
        </w:rPr>
        <w:lastRenderedPageBreak/>
        <w:t>LDO følger med Difi sitt nettverk for informasjonstryggleik jamleg for å holde oss oppdatert på staten sin digitaliseringsplan. Tiltaka er tilpassa til LDO sitt behov. IKT-drifta i heile 2016 har vært god. Arbeid på tiltaksområda vil halde fram i 2017.</w:t>
      </w:r>
    </w:p>
    <w:p w:rsidR="0098414A" w:rsidRPr="00872777" w:rsidRDefault="0098414A" w:rsidP="0098414A">
      <w:pPr>
        <w:rPr>
          <w:rFonts w:eastAsiaTheme="majorEastAsia"/>
          <w:b/>
          <w:bCs/>
          <w:lang w:val="nn-NO"/>
        </w:rPr>
      </w:pPr>
    </w:p>
    <w:p w:rsidR="0098414A" w:rsidRPr="00872777" w:rsidRDefault="0098414A" w:rsidP="0098414A">
      <w:pPr>
        <w:rPr>
          <w:lang w:val="nn-NO"/>
        </w:rPr>
      </w:pPr>
      <w:r w:rsidRPr="00872777">
        <w:rPr>
          <w:rFonts w:eastAsiaTheme="majorEastAsia"/>
          <w:b/>
          <w:bCs/>
          <w:lang w:val="nn-NO"/>
        </w:rPr>
        <w:t xml:space="preserve">Lovhandheving og saksbehandlingstid </w:t>
      </w:r>
      <w:r w:rsidRPr="00872777">
        <w:rPr>
          <w:rFonts w:eastAsiaTheme="majorEastAsia"/>
          <w:b/>
          <w:bCs/>
          <w:lang w:val="nn-NO"/>
        </w:rPr>
        <w:br/>
      </w:r>
      <w:r w:rsidRPr="00872777">
        <w:rPr>
          <w:lang w:val="nn-NO"/>
        </w:rPr>
        <w:t xml:space="preserve">Saksbehandlinga i LDO kan vere ein risikofaktor når det gjeld vår måloppnåing. Vi har jobba lenge med å få sakshandsamingstida ned, med vekt på målet om å gi folk rask, relevant og god bistand. Saksbehandlingstida har gått betydeleg ned i 2016. Sjå meir om dette i 3.1. </w:t>
      </w:r>
    </w:p>
    <w:p w:rsidR="0098414A" w:rsidRPr="00872777" w:rsidRDefault="0098414A" w:rsidP="0098414A">
      <w:pPr>
        <w:spacing w:after="0"/>
        <w:rPr>
          <w:b/>
          <w:bCs/>
          <w:lang w:val="nn-NO"/>
        </w:rPr>
      </w:pPr>
    </w:p>
    <w:p w:rsidR="0098414A" w:rsidRPr="00872777" w:rsidRDefault="0098414A" w:rsidP="006C5C63">
      <w:pPr>
        <w:pStyle w:val="Overskrift3"/>
        <w:rPr>
          <w:rFonts w:eastAsiaTheme="majorEastAsia"/>
        </w:rPr>
      </w:pPr>
      <w:bookmarkStart w:id="32" w:name="_Toc476060732"/>
      <w:r w:rsidRPr="00872777">
        <w:rPr>
          <w:rFonts w:eastAsiaTheme="majorEastAsia"/>
        </w:rPr>
        <w:t>Tryggleik for våre ansatte</w:t>
      </w:r>
      <w:bookmarkEnd w:id="32"/>
    </w:p>
    <w:p w:rsidR="0098414A" w:rsidRPr="007C5C9F" w:rsidRDefault="0098414A" w:rsidP="0098414A">
      <w:pPr>
        <w:rPr>
          <w:lang w:val="nn-NO"/>
        </w:rPr>
      </w:pPr>
      <w:r w:rsidRPr="00872777">
        <w:rPr>
          <w:lang w:val="nn-NO"/>
        </w:rPr>
        <w:t xml:space="preserve">LDO skal vere eit reelt lavterskeltilbod. Folk skal for eksempel kunne kontakte ombodet ved personleg frammøte og få snakke med våre saksbehandlarar. LDO har utarbeida ein eigen tryggleiksinstruks til bruk ved førstegongs personleg frammøte. </w:t>
      </w:r>
      <w:r w:rsidRPr="007C5C9F">
        <w:rPr>
          <w:lang w:val="nn-NO"/>
        </w:rPr>
        <w:t xml:space="preserve">Denne </w:t>
      </w:r>
      <w:r>
        <w:rPr>
          <w:lang w:val="nn-NO"/>
        </w:rPr>
        <w:t>instruksen blir oppdatert jamleg og alle tilsette får jam</w:t>
      </w:r>
      <w:r w:rsidRPr="007C5C9F">
        <w:rPr>
          <w:lang w:val="nn-NO"/>
        </w:rPr>
        <w:t>leg informasjon. I tillegg er det eit eige opplegg for dei som arbeidar i LDO</w:t>
      </w:r>
      <w:r>
        <w:rPr>
          <w:lang w:val="nn-NO"/>
        </w:rPr>
        <w:t xml:space="preserve"> </w:t>
      </w:r>
      <w:r w:rsidRPr="007C5C9F">
        <w:rPr>
          <w:lang w:val="nn-NO"/>
        </w:rPr>
        <w:t>s</w:t>
      </w:r>
      <w:r>
        <w:rPr>
          <w:lang w:val="nn-NO"/>
        </w:rPr>
        <w:t>in</w:t>
      </w:r>
      <w:r w:rsidRPr="007C5C9F">
        <w:rPr>
          <w:lang w:val="nn-NO"/>
        </w:rPr>
        <w:t xml:space="preserve"> førstelinje. Tryggleik for medarbeidarane er alltid prioritert hos oss. </w:t>
      </w:r>
    </w:p>
    <w:p w:rsidR="0098414A" w:rsidRPr="007C5C9F" w:rsidRDefault="0098414A" w:rsidP="0098414A">
      <w:pPr>
        <w:rPr>
          <w:lang w:val="nn-NO"/>
        </w:rPr>
      </w:pPr>
    </w:p>
    <w:p w:rsidR="0098414A" w:rsidRPr="007C5C9F" w:rsidRDefault="0098414A" w:rsidP="006C5C63">
      <w:pPr>
        <w:pStyle w:val="Overskrift3"/>
        <w:rPr>
          <w:rFonts w:eastAsiaTheme="majorEastAsia"/>
        </w:rPr>
      </w:pPr>
      <w:bookmarkStart w:id="33" w:name="_Toc476060733"/>
      <w:r w:rsidRPr="007C5C9F">
        <w:rPr>
          <w:rFonts w:eastAsiaTheme="majorEastAsia"/>
        </w:rPr>
        <w:t>Kriseberedskap</w:t>
      </w:r>
      <w:bookmarkEnd w:id="33"/>
    </w:p>
    <w:p w:rsidR="0098414A" w:rsidRPr="007C5C9F" w:rsidRDefault="0098414A" w:rsidP="0098414A">
      <w:pPr>
        <w:rPr>
          <w:lang w:val="nn-NO"/>
        </w:rPr>
      </w:pPr>
      <w:r>
        <w:rPr>
          <w:lang w:val="nn-NO"/>
        </w:rPr>
        <w:t>Ombodet</w:t>
      </w:r>
      <w:r w:rsidRPr="007C5C9F">
        <w:rPr>
          <w:lang w:val="nn-NO"/>
        </w:rPr>
        <w:t xml:space="preserve"> har laga ei</w:t>
      </w:r>
      <w:r>
        <w:rPr>
          <w:lang w:val="nn-NO"/>
        </w:rPr>
        <w:t>n kriseplan. Planen</w:t>
      </w:r>
      <w:r w:rsidRPr="007C5C9F">
        <w:rPr>
          <w:lang w:val="nn-NO"/>
        </w:rPr>
        <w:t xml:space="preserve"> er uspesifikk kva gjeld scenario. </w:t>
      </w:r>
      <w:r>
        <w:rPr>
          <w:lang w:val="nn-NO"/>
        </w:rPr>
        <w:t>Den er kortfatta og vektlegg</w:t>
      </w:r>
      <w:r w:rsidRPr="007C5C9F">
        <w:rPr>
          <w:lang w:val="nn-NO"/>
        </w:rPr>
        <w:t xml:space="preserve"> det som er nyttig for </w:t>
      </w:r>
      <w:r>
        <w:rPr>
          <w:lang w:val="nn-NO"/>
        </w:rPr>
        <w:t>ombodet sin leiing i ei krise</w:t>
      </w:r>
      <w:r w:rsidRPr="007C5C9F">
        <w:rPr>
          <w:lang w:val="nn-NO"/>
        </w:rPr>
        <w:t xml:space="preserve">. </w:t>
      </w:r>
    </w:p>
    <w:p w:rsidR="0098414A" w:rsidRPr="007C5C9F" w:rsidRDefault="0098414A" w:rsidP="0098414A">
      <w:pPr>
        <w:rPr>
          <w:lang w:val="nn-NO"/>
        </w:rPr>
      </w:pPr>
    </w:p>
    <w:p w:rsidR="0098414A" w:rsidRDefault="0098414A" w:rsidP="0098414A">
      <w:pPr>
        <w:rPr>
          <w:lang w:val="nn-NO"/>
        </w:rPr>
      </w:pPr>
      <w:r w:rsidRPr="007C5C9F">
        <w:rPr>
          <w:lang w:val="nn-NO"/>
        </w:rPr>
        <w:t>Kriseplanen er eit dynamisk dokument som vert oppdatert fortløpande</w:t>
      </w:r>
      <w:r>
        <w:rPr>
          <w:lang w:val="nn-NO"/>
        </w:rPr>
        <w:t>, seinast hausten 2016</w:t>
      </w:r>
      <w:r w:rsidRPr="007C5C9F">
        <w:rPr>
          <w:lang w:val="nn-NO"/>
        </w:rPr>
        <w:t xml:space="preserve">. Alle leiarane har kriseplana lett tilgjengeleg, både på kontoret, på mobilen og heime. </w:t>
      </w:r>
      <w:r>
        <w:rPr>
          <w:lang w:val="nn-NO"/>
        </w:rPr>
        <w:t>Sjå kopi av kriseplanen vedlagt denne årsmeldinga. På grunn av utskiftningar i leiargruppa, vil det bli avvikla ein ny kriseøving i mars 2017.</w:t>
      </w:r>
    </w:p>
    <w:p w:rsidR="00C22C57" w:rsidRDefault="00C22C57" w:rsidP="0098414A">
      <w:pPr>
        <w:rPr>
          <w:lang w:val="nn-NO"/>
        </w:rPr>
      </w:pPr>
    </w:p>
    <w:p w:rsidR="00EC39B9" w:rsidRDefault="00EC39B9" w:rsidP="0098414A">
      <w:pPr>
        <w:keepNext/>
        <w:keepLines/>
        <w:spacing w:before="200" w:after="0"/>
        <w:outlineLvl w:val="2"/>
        <w:rPr>
          <w:rFonts w:eastAsiaTheme="majorEastAsia"/>
          <w:b/>
          <w:bCs/>
          <w:lang w:val="nn-NO"/>
        </w:rPr>
      </w:pPr>
      <w:bookmarkStart w:id="34" w:name="_Toc476060734"/>
      <w:r>
        <w:rPr>
          <w:rFonts w:eastAsiaTheme="majorEastAsia"/>
          <w:b/>
          <w:bCs/>
          <w:lang w:val="nn-NO"/>
        </w:rPr>
        <w:t>Varlingsrutinar</w:t>
      </w:r>
      <w:bookmarkEnd w:id="34"/>
    </w:p>
    <w:p w:rsidR="00EC39B9" w:rsidRDefault="00EC39B9" w:rsidP="00EC39B9">
      <w:pPr>
        <w:rPr>
          <w:lang w:val="nn-NO"/>
        </w:rPr>
      </w:pPr>
      <w:r>
        <w:rPr>
          <w:lang w:val="nn-NO"/>
        </w:rPr>
        <w:t>LDO har intern rutine for varsling som inkluderer ein varslingsplakat som henger godt synleg i vår</w:t>
      </w:r>
      <w:r w:rsidR="00945677">
        <w:rPr>
          <w:lang w:val="nn-NO"/>
        </w:rPr>
        <w:t>e</w:t>
      </w:r>
      <w:r>
        <w:rPr>
          <w:lang w:val="nn-NO"/>
        </w:rPr>
        <w:t xml:space="preserve"> lok</w:t>
      </w:r>
      <w:r w:rsidR="00945677">
        <w:rPr>
          <w:lang w:val="nn-NO"/>
        </w:rPr>
        <w:t>al</w:t>
      </w:r>
      <w:r>
        <w:rPr>
          <w:lang w:val="nn-NO"/>
        </w:rPr>
        <w:t xml:space="preserve">. I rutinane fokuserer vi på at varsling er både ein plikt og ein moglegheit. Våre varslingsrutinar gir rettleiing til både den som varslar og til leiinga som skal handsama den. </w:t>
      </w:r>
    </w:p>
    <w:p w:rsidR="00C22C57" w:rsidRDefault="00C22C57" w:rsidP="006C5C63">
      <w:pPr>
        <w:pStyle w:val="Overskrift3"/>
        <w:rPr>
          <w:rFonts w:eastAsiaTheme="majorEastAsia"/>
        </w:rPr>
      </w:pPr>
    </w:p>
    <w:p w:rsidR="0098414A" w:rsidRPr="007C5C9F" w:rsidRDefault="0098414A" w:rsidP="006C5C63">
      <w:pPr>
        <w:pStyle w:val="Overskrift3"/>
        <w:rPr>
          <w:rFonts w:eastAsiaTheme="majorEastAsia"/>
        </w:rPr>
      </w:pPr>
      <w:bookmarkStart w:id="35" w:name="_Toc476060735"/>
      <w:r w:rsidRPr="007C5C9F">
        <w:rPr>
          <w:rFonts w:eastAsiaTheme="majorEastAsia"/>
        </w:rPr>
        <w:t>Universell utforming i eigne lokaler</w:t>
      </w:r>
      <w:bookmarkEnd w:id="35"/>
    </w:p>
    <w:p w:rsidR="0098414A" w:rsidRDefault="0098414A" w:rsidP="0098414A">
      <w:pPr>
        <w:rPr>
          <w:lang w:val="nn-NO"/>
        </w:rPr>
      </w:pPr>
      <w:r>
        <w:rPr>
          <w:lang w:val="nn-NO"/>
        </w:rPr>
        <w:t>Likestillings- og diskrimineringsombodet</w:t>
      </w:r>
      <w:r w:rsidRPr="007C5C9F">
        <w:rPr>
          <w:lang w:val="nn-NO"/>
        </w:rPr>
        <w:t xml:space="preserve"> har holdt til i dei same moderne lokala i Oslo sentrum siden hausten 2009. </w:t>
      </w:r>
      <w:r>
        <w:rPr>
          <w:lang w:val="nn-NO"/>
        </w:rPr>
        <w:t xml:space="preserve">I forbindelse med flyttinga til nye lokalar var det viktig å sikre god tilgjengelegheit. Dette heng og saman med at ombodet skal arbeide for å sikre universell utforming av samfunnet. </w:t>
      </w:r>
    </w:p>
    <w:p w:rsidR="0098414A" w:rsidRDefault="0098414A" w:rsidP="0098414A">
      <w:pPr>
        <w:rPr>
          <w:lang w:val="nn-NO"/>
        </w:rPr>
      </w:pPr>
    </w:p>
    <w:p w:rsidR="0098414A" w:rsidRPr="007C5C9F" w:rsidRDefault="0098414A" w:rsidP="0098414A">
      <w:pPr>
        <w:rPr>
          <w:lang w:val="nn-NO"/>
        </w:rPr>
      </w:pPr>
      <w:r w:rsidRPr="007C5C9F">
        <w:rPr>
          <w:lang w:val="nn-NO"/>
        </w:rPr>
        <w:t xml:space="preserve">Det er teleslyngeanlegg i kontorlokala og i felles møterom i bygget. Krava til universell utforming gjeld dører (dei fleste utan dørstokkar), toalett, skilting og leielinjer for synshemma i golvet. Det er også leielinjer i golvet ved heisane. </w:t>
      </w:r>
      <w:r>
        <w:rPr>
          <w:lang w:val="nn-NO"/>
        </w:rPr>
        <w:t>Ombodet har interne rutina</w:t>
      </w:r>
      <w:r w:rsidRPr="007C5C9F">
        <w:rPr>
          <w:lang w:val="nn-NO"/>
        </w:rPr>
        <w:t>r for å ta seg av tilsette sine behov for tilrettelegging. Nye medarbeidara</w:t>
      </w:r>
      <w:r>
        <w:rPr>
          <w:lang w:val="nn-NO"/>
        </w:rPr>
        <w:t xml:space="preserve">r får tilbod om ein </w:t>
      </w:r>
      <w:r w:rsidRPr="007C5C9F">
        <w:rPr>
          <w:lang w:val="nn-NO"/>
        </w:rPr>
        <w:t xml:space="preserve">samtale </w:t>
      </w:r>
      <w:r>
        <w:rPr>
          <w:lang w:val="nn-NO"/>
        </w:rPr>
        <w:t xml:space="preserve">om tilrettelegging </w:t>
      </w:r>
      <w:r w:rsidRPr="007C5C9F">
        <w:rPr>
          <w:lang w:val="nn-NO"/>
        </w:rPr>
        <w:t xml:space="preserve">kort tid etter at dei har starta opp i stillinga og vi har eit eige skjema for samtalen. </w:t>
      </w:r>
    </w:p>
    <w:p w:rsidR="0098414A" w:rsidRPr="007C5C9F" w:rsidRDefault="0098414A" w:rsidP="0098414A">
      <w:pPr>
        <w:keepNext/>
        <w:keepLines/>
        <w:spacing w:before="200" w:after="0"/>
        <w:outlineLvl w:val="2"/>
        <w:rPr>
          <w:rFonts w:eastAsiaTheme="majorEastAsia"/>
          <w:b/>
          <w:bCs/>
          <w:lang w:val="nn-NO"/>
        </w:rPr>
      </w:pPr>
    </w:p>
    <w:p w:rsidR="0098414A" w:rsidRPr="007C5C9F" w:rsidRDefault="0098414A" w:rsidP="006C5C63">
      <w:pPr>
        <w:pStyle w:val="Overskrift3"/>
        <w:rPr>
          <w:rFonts w:eastAsiaTheme="majorEastAsia"/>
        </w:rPr>
      </w:pPr>
      <w:bookmarkStart w:id="36" w:name="_Toc476060736"/>
      <w:r w:rsidRPr="007C5C9F">
        <w:rPr>
          <w:rFonts w:eastAsiaTheme="majorEastAsia"/>
        </w:rPr>
        <w:t>IKT-arkitektur</w:t>
      </w:r>
      <w:bookmarkEnd w:id="36"/>
      <w:r>
        <w:rPr>
          <w:rFonts w:eastAsiaTheme="majorEastAsia"/>
        </w:rPr>
        <w:t xml:space="preserve"> </w:t>
      </w:r>
    </w:p>
    <w:p w:rsidR="0098414A" w:rsidRPr="007C5C9F" w:rsidRDefault="0098414A" w:rsidP="0098414A">
      <w:pPr>
        <w:rPr>
          <w:lang w:val="nn-NO"/>
        </w:rPr>
      </w:pPr>
      <w:r w:rsidRPr="007C5C9F">
        <w:rPr>
          <w:lang w:val="nn-NO"/>
        </w:rPr>
        <w:t xml:space="preserve">IKT-strukturen i </w:t>
      </w:r>
      <w:r>
        <w:rPr>
          <w:lang w:val="nn-NO"/>
        </w:rPr>
        <w:t>ombodet</w:t>
      </w:r>
      <w:r w:rsidRPr="007C5C9F">
        <w:rPr>
          <w:lang w:val="nn-NO"/>
        </w:rPr>
        <w:t xml:space="preserve"> følger dei sju arkitekturprinsippa: Tenesteorientering, interoperabilitet</w:t>
      </w:r>
      <w:r>
        <w:rPr>
          <w:lang w:val="nn-NO"/>
        </w:rPr>
        <w:t>, tilgjengelegheit, tryggleik, op</w:t>
      </w:r>
      <w:r w:rsidRPr="007C5C9F">
        <w:rPr>
          <w:lang w:val="nn-NO"/>
        </w:rPr>
        <w:t>enhe</w:t>
      </w:r>
      <w:r>
        <w:rPr>
          <w:lang w:val="nn-NO"/>
        </w:rPr>
        <w:t>i</w:t>
      </w:r>
      <w:r w:rsidRPr="007C5C9F">
        <w:rPr>
          <w:lang w:val="nn-NO"/>
        </w:rPr>
        <w:t xml:space="preserve">t, fleksibilitet og </w:t>
      </w:r>
      <w:r w:rsidRPr="002A0738">
        <w:rPr>
          <w:lang w:val="nn-NO"/>
        </w:rPr>
        <w:t>skalerbarhet.</w:t>
      </w:r>
      <w:r w:rsidRPr="007C5C9F">
        <w:rPr>
          <w:lang w:val="nn-NO"/>
        </w:rPr>
        <w:t xml:space="preserve"> Disse krava er grunnleggande for analyse, design, utvikling og testing av IKT-løysingar. F</w:t>
      </w:r>
      <w:r>
        <w:rPr>
          <w:lang w:val="nn-NO"/>
        </w:rPr>
        <w:t>ø</w:t>
      </w:r>
      <w:r w:rsidRPr="007C5C9F">
        <w:rPr>
          <w:lang w:val="nn-NO"/>
        </w:rPr>
        <w:t>r</w:t>
      </w:r>
      <w:r>
        <w:rPr>
          <w:lang w:val="nn-NO"/>
        </w:rPr>
        <w:t>e</w:t>
      </w:r>
      <w:r w:rsidRPr="007C5C9F">
        <w:rPr>
          <w:lang w:val="nn-NO"/>
        </w:rPr>
        <w:t xml:space="preserve">målet med prinsippa er å gjere løysingane meir brukarorienterte og kostnadseffektive, noko som også er eit overordna mål for </w:t>
      </w:r>
      <w:r>
        <w:rPr>
          <w:lang w:val="nn-NO"/>
        </w:rPr>
        <w:t>ombodet</w:t>
      </w:r>
      <w:r w:rsidRPr="007C5C9F">
        <w:rPr>
          <w:lang w:val="nn-NO"/>
        </w:rPr>
        <w:t xml:space="preserve">. Ved systemendringar vil </w:t>
      </w:r>
      <w:r>
        <w:rPr>
          <w:lang w:val="nn-NO"/>
        </w:rPr>
        <w:t>ombodet</w:t>
      </w:r>
      <w:r w:rsidRPr="007C5C9F">
        <w:rPr>
          <w:lang w:val="nn-NO"/>
        </w:rPr>
        <w:t xml:space="preserve"> dokumentere etterleving av arkitekturprinsippa i offentlege verksemder ved hjelp av sjølvdeklarasjonsskjemaet som finnast på Prosjektvegvisaren hos Difi. </w:t>
      </w:r>
      <w:r>
        <w:rPr>
          <w:lang w:val="nn-NO"/>
        </w:rPr>
        <w:t>Ombodet</w:t>
      </w:r>
      <w:r w:rsidRPr="007C5C9F">
        <w:rPr>
          <w:lang w:val="nn-NO"/>
        </w:rPr>
        <w:t xml:space="preserve"> følger Rundskriv P4/2011, som er obligatorisk for offentleg sektor. </w:t>
      </w:r>
    </w:p>
    <w:p w:rsidR="002A0738" w:rsidRDefault="002A0738" w:rsidP="0098414A">
      <w:pPr>
        <w:rPr>
          <w:rFonts w:eastAsiaTheme="minorHAnsi"/>
          <w:lang w:val="nn-NO"/>
        </w:rPr>
      </w:pPr>
    </w:p>
    <w:p w:rsidR="0098414A" w:rsidRPr="004F3AEE" w:rsidRDefault="0098414A" w:rsidP="0098414A">
      <w:pPr>
        <w:rPr>
          <w:rFonts w:eastAsiaTheme="minorHAnsi"/>
          <w:lang w:val="nn-NO"/>
        </w:rPr>
      </w:pPr>
      <w:r>
        <w:rPr>
          <w:rFonts w:eastAsiaTheme="minorHAnsi"/>
          <w:lang w:val="nn-NO"/>
        </w:rPr>
        <w:t>Ombodet</w:t>
      </w:r>
      <w:r w:rsidRPr="004F3AEE">
        <w:rPr>
          <w:rFonts w:eastAsiaTheme="minorHAnsi"/>
          <w:lang w:val="nn-NO"/>
        </w:rPr>
        <w:t xml:space="preserve"> har også oppfylt krava i Digitaliseringsrundskrivet om digital postkasse (Sikker digital postkasse, SDP). </w:t>
      </w:r>
      <w:r>
        <w:rPr>
          <w:rFonts w:eastAsiaTheme="minorHAnsi"/>
          <w:lang w:val="nn-NO"/>
        </w:rPr>
        <w:t>Ombodet starta</w:t>
      </w:r>
      <w:r w:rsidRPr="004F3AEE">
        <w:rPr>
          <w:rFonts w:eastAsiaTheme="minorHAnsi"/>
          <w:lang w:val="nn-NO"/>
        </w:rPr>
        <w:t xml:space="preserve"> i 2015 arbeidet med overgang til helelektronisk saksbehandling og arkiv. Funksjonen om å eksp</w:t>
      </w:r>
      <w:r>
        <w:rPr>
          <w:rFonts w:eastAsiaTheme="minorHAnsi"/>
          <w:lang w:val="nn-NO"/>
        </w:rPr>
        <w:t>edere mot digital postkasse blei</w:t>
      </w:r>
      <w:r w:rsidRPr="004F3AEE">
        <w:rPr>
          <w:rFonts w:eastAsiaTheme="minorHAnsi"/>
          <w:lang w:val="nn-NO"/>
        </w:rPr>
        <w:t xml:space="preserve"> etablert. I 2016 fokuserte </w:t>
      </w:r>
      <w:r>
        <w:rPr>
          <w:rFonts w:eastAsiaTheme="minorHAnsi"/>
          <w:lang w:val="nn-NO"/>
        </w:rPr>
        <w:t>ombodet</w:t>
      </w:r>
      <w:r w:rsidRPr="004F3AEE">
        <w:rPr>
          <w:rFonts w:eastAsiaTheme="minorHAnsi"/>
          <w:lang w:val="nn-NO"/>
        </w:rPr>
        <w:t xml:space="preserve"> på opplæring av </w:t>
      </w:r>
      <w:r>
        <w:rPr>
          <w:rFonts w:eastAsiaTheme="minorHAnsi"/>
          <w:lang w:val="nn-NO"/>
        </w:rPr>
        <w:t>fagsystemet og ein best mogleg</w:t>
      </w:r>
      <w:r w:rsidRPr="004F3AEE">
        <w:rPr>
          <w:rFonts w:eastAsiaTheme="minorHAnsi"/>
          <w:lang w:val="nn-NO"/>
        </w:rPr>
        <w:t xml:space="preserve"> IKT-struktur. </w:t>
      </w:r>
      <w:r w:rsidRPr="001C5500">
        <w:rPr>
          <w:rFonts w:eastAsiaTheme="minorHAnsi"/>
          <w:lang w:val="nn-NO"/>
        </w:rPr>
        <w:t>Å redusere saksbehandlingstid</w:t>
      </w:r>
      <w:r>
        <w:rPr>
          <w:rFonts w:eastAsiaTheme="minorHAnsi"/>
          <w:lang w:val="nn-NO"/>
        </w:rPr>
        <w:t>a</w:t>
      </w:r>
      <w:r w:rsidRPr="001C5500">
        <w:rPr>
          <w:rFonts w:eastAsiaTheme="minorHAnsi"/>
          <w:lang w:val="nn-NO"/>
        </w:rPr>
        <w:t xml:space="preserve"> har og vært målet i 2016. </w:t>
      </w:r>
      <w:r w:rsidRPr="004F3AEE">
        <w:rPr>
          <w:rFonts w:eastAsiaTheme="minorHAnsi"/>
          <w:lang w:val="nn-NO"/>
        </w:rPr>
        <w:t xml:space="preserve">Innføringa </w:t>
      </w:r>
      <w:r>
        <w:rPr>
          <w:rFonts w:eastAsiaTheme="minorHAnsi"/>
          <w:lang w:val="nn-NO"/>
        </w:rPr>
        <w:t>av helelektronisk saksbehandling</w:t>
      </w:r>
      <w:r w:rsidRPr="004F3AEE">
        <w:rPr>
          <w:rFonts w:eastAsiaTheme="minorHAnsi"/>
          <w:lang w:val="nn-NO"/>
        </w:rPr>
        <w:t xml:space="preserve"> har bidratt til </w:t>
      </w:r>
      <w:r>
        <w:rPr>
          <w:rFonts w:eastAsiaTheme="minorHAnsi"/>
          <w:lang w:val="nn-NO"/>
        </w:rPr>
        <w:t>en meir effektiv saksbehandlings</w:t>
      </w:r>
      <w:r w:rsidRPr="004F3AEE">
        <w:rPr>
          <w:rFonts w:eastAsiaTheme="minorHAnsi"/>
          <w:lang w:val="nn-NO"/>
        </w:rPr>
        <w:t>prosess. Bruk</w:t>
      </w:r>
      <w:r>
        <w:rPr>
          <w:rFonts w:eastAsiaTheme="minorHAnsi"/>
          <w:lang w:val="nn-NO"/>
        </w:rPr>
        <w:t>arane</w:t>
      </w:r>
      <w:r w:rsidRPr="004F3AEE">
        <w:rPr>
          <w:rFonts w:eastAsiaTheme="minorHAnsi"/>
          <w:lang w:val="nn-NO"/>
        </w:rPr>
        <w:t xml:space="preserve"> til </w:t>
      </w:r>
      <w:r>
        <w:rPr>
          <w:rFonts w:eastAsiaTheme="minorHAnsi"/>
          <w:lang w:val="nn-NO"/>
        </w:rPr>
        <w:t>fagsystemet, korrigering av malar, best mogleg fagsystem</w:t>
      </w:r>
      <w:r w:rsidRPr="004F3AEE">
        <w:rPr>
          <w:rFonts w:eastAsiaTheme="minorHAnsi"/>
          <w:lang w:val="nn-NO"/>
        </w:rPr>
        <w:t xml:space="preserve"> og oppdatering har vært sentralt </w:t>
      </w:r>
      <w:r>
        <w:rPr>
          <w:rFonts w:eastAsiaTheme="minorHAnsi"/>
          <w:lang w:val="nn-NO"/>
        </w:rPr>
        <w:t>i arbeidet inna</w:t>
      </w:r>
      <w:r w:rsidRPr="004F3AEE">
        <w:rPr>
          <w:rFonts w:eastAsiaTheme="minorHAnsi"/>
          <w:lang w:val="nn-NO"/>
        </w:rPr>
        <w:t xml:space="preserve">n IKT-arkitektur i 2016. </w:t>
      </w:r>
    </w:p>
    <w:p w:rsidR="002A0738" w:rsidRDefault="002A0738" w:rsidP="0098414A">
      <w:pPr>
        <w:rPr>
          <w:rFonts w:eastAsiaTheme="minorHAnsi"/>
          <w:lang w:val="nn-NO"/>
        </w:rPr>
      </w:pPr>
    </w:p>
    <w:p w:rsidR="0098414A" w:rsidRPr="007C5C9F" w:rsidRDefault="0098414A" w:rsidP="0098414A">
      <w:pPr>
        <w:rPr>
          <w:lang w:val="nn-NO"/>
        </w:rPr>
      </w:pPr>
      <w:r w:rsidRPr="00872777">
        <w:rPr>
          <w:rFonts w:eastAsiaTheme="minorHAnsi"/>
          <w:lang w:val="nn-NO"/>
        </w:rPr>
        <w:t xml:space="preserve">Ombodet jobber også mye med openheit, og tilgjengelegheit og universell utforming er eit av LDO sine satsingsområder. </w:t>
      </w:r>
      <w:r w:rsidRPr="004F3AEE">
        <w:rPr>
          <w:lang w:val="nn-NO"/>
        </w:rPr>
        <w:t xml:space="preserve">I regjeringas digitaliseringsprogram heiter det at den statlege forvaltninga skal vere tilgjengeleg på nett så langt det lar seg gjere. </w:t>
      </w:r>
      <w:r>
        <w:rPr>
          <w:lang w:val="nn-NO"/>
        </w:rPr>
        <w:t>Ombodet</w:t>
      </w:r>
      <w:r w:rsidRPr="004F3AEE">
        <w:rPr>
          <w:lang w:val="nn-NO"/>
        </w:rPr>
        <w:t xml:space="preserve"> publiserar informasjon på </w:t>
      </w:r>
      <w:r w:rsidRPr="007C5C9F">
        <w:rPr>
          <w:lang w:val="nn-NO"/>
        </w:rPr>
        <w:t xml:space="preserve">nettsida si i maskinlesbart format etter gjeldande lovverk og forskrifter. Informasjonen blir publisert på </w:t>
      </w:r>
      <w:hyperlink r:id="rId9">
        <w:r w:rsidRPr="007C5C9F">
          <w:rPr>
            <w:lang w:val="nn-NO"/>
          </w:rPr>
          <w:t>www.ldo.no</w:t>
        </w:r>
      </w:hyperlink>
      <w:r w:rsidRPr="007C5C9F">
        <w:rPr>
          <w:lang w:val="nn-NO"/>
        </w:rPr>
        <w:t xml:space="preserve"> ved bruk av ein open og godkjent standard etter Referansekatalog for IT-standardar i offentleg forvalting. Formata er ved publisering ferdigstilte dokument meint for lesing. Offentleglova blir fulgt når offentlege dokument blir publiserte på </w:t>
      </w:r>
      <w:r>
        <w:rPr>
          <w:lang w:val="nn-NO"/>
        </w:rPr>
        <w:t>ombodet</w:t>
      </w:r>
      <w:r w:rsidRPr="007C5C9F">
        <w:rPr>
          <w:lang w:val="nn-NO"/>
        </w:rPr>
        <w:t xml:space="preserve"> si</w:t>
      </w:r>
      <w:r>
        <w:rPr>
          <w:lang w:val="nn-NO"/>
        </w:rPr>
        <w:t>n</w:t>
      </w:r>
      <w:r w:rsidRPr="007C5C9F">
        <w:rPr>
          <w:lang w:val="nn-NO"/>
        </w:rPr>
        <w:t xml:space="preserve"> nettside saman med den offentlege postjournalen.</w:t>
      </w:r>
    </w:p>
    <w:p w:rsidR="0098414A" w:rsidRDefault="0098414A" w:rsidP="0098414A">
      <w:pPr>
        <w:keepNext/>
        <w:keepLines/>
        <w:spacing w:before="200" w:after="0"/>
        <w:outlineLvl w:val="2"/>
        <w:rPr>
          <w:rFonts w:eastAsiaTheme="majorEastAsia"/>
          <w:b/>
          <w:bCs/>
          <w:lang w:val="nn-NO"/>
        </w:rPr>
      </w:pPr>
    </w:p>
    <w:p w:rsidR="0098414A" w:rsidRPr="007C5C9F" w:rsidRDefault="0098414A" w:rsidP="006C5C63">
      <w:pPr>
        <w:pStyle w:val="Overskrift3"/>
        <w:rPr>
          <w:rFonts w:eastAsiaTheme="majorEastAsia"/>
        </w:rPr>
      </w:pPr>
      <w:bookmarkStart w:id="37" w:name="_Toc476060737"/>
      <w:r w:rsidRPr="007C5C9F">
        <w:rPr>
          <w:rFonts w:eastAsiaTheme="majorEastAsia"/>
        </w:rPr>
        <w:t>Sosiale krav i samanheng med innkjøp i 201</w:t>
      </w:r>
      <w:r>
        <w:rPr>
          <w:rFonts w:eastAsiaTheme="majorEastAsia"/>
        </w:rPr>
        <w:t>6</w:t>
      </w:r>
      <w:bookmarkEnd w:id="37"/>
    </w:p>
    <w:p w:rsidR="0098414A" w:rsidRDefault="0098414A" w:rsidP="0098414A">
      <w:pPr>
        <w:rPr>
          <w:lang w:val="nn-NO"/>
        </w:rPr>
      </w:pPr>
      <w:r>
        <w:rPr>
          <w:lang w:val="nn-NO"/>
        </w:rPr>
        <w:t>Sida</w:t>
      </w:r>
      <w:r w:rsidRPr="007C5C9F">
        <w:rPr>
          <w:lang w:val="nn-NO"/>
        </w:rPr>
        <w:t>n 2014, uavhengig av storleiken på LDO</w:t>
      </w:r>
      <w:r>
        <w:rPr>
          <w:lang w:val="nn-NO"/>
        </w:rPr>
        <w:t xml:space="preserve"> </w:t>
      </w:r>
      <w:r w:rsidRPr="007C5C9F">
        <w:rPr>
          <w:lang w:val="nn-NO"/>
        </w:rPr>
        <w:t>s</w:t>
      </w:r>
      <w:r>
        <w:rPr>
          <w:lang w:val="nn-NO"/>
        </w:rPr>
        <w:t>ine</w:t>
      </w:r>
      <w:r w:rsidRPr="007C5C9F">
        <w:rPr>
          <w:lang w:val="nn-NO"/>
        </w:rPr>
        <w:t xml:space="preserve"> anskaffingar, har </w:t>
      </w:r>
      <w:r>
        <w:rPr>
          <w:lang w:val="nn-NO"/>
        </w:rPr>
        <w:t>ombodet</w:t>
      </w:r>
      <w:r w:rsidRPr="007C5C9F">
        <w:rPr>
          <w:lang w:val="nn-NO"/>
        </w:rPr>
        <w:t xml:space="preserve"> lagt til rette for at sosiale krav skal veie minst 20 pros</w:t>
      </w:r>
      <w:r>
        <w:rPr>
          <w:lang w:val="nn-NO"/>
        </w:rPr>
        <w:t xml:space="preserve">ent i </w:t>
      </w:r>
      <w:r w:rsidRPr="007C5C9F">
        <w:rPr>
          <w:lang w:val="nn-NO"/>
        </w:rPr>
        <w:t>prosessen for å kunne utvise samfunnsansvar. Dette gjeld både sosiale, etiske og miljømessige krav til at arbeidstakarane som har vore invol</w:t>
      </w:r>
      <w:r>
        <w:rPr>
          <w:lang w:val="nn-NO"/>
        </w:rPr>
        <w:t>vert i produksjon av varer og t</w:t>
      </w:r>
      <w:r w:rsidRPr="007C5C9F">
        <w:rPr>
          <w:lang w:val="nn-NO"/>
        </w:rPr>
        <w:t>enester vi forbruker, har hatt anstendige arbeidsforhold og arbeidsvilkår, og at selskapa opererer i tråd med menneskerettane og gjeldande internasjonale og nasjonale miljøkrav og -standarar. I tillegg følger LDO ILO</w:t>
      </w:r>
      <w:r>
        <w:rPr>
          <w:lang w:val="nn-NO"/>
        </w:rPr>
        <w:t xml:space="preserve"> </w:t>
      </w:r>
      <w:r w:rsidRPr="007C5C9F">
        <w:rPr>
          <w:lang w:val="nn-NO"/>
        </w:rPr>
        <w:t>s</w:t>
      </w:r>
      <w:r>
        <w:rPr>
          <w:lang w:val="nn-NO"/>
        </w:rPr>
        <w:t>in</w:t>
      </w:r>
      <w:r w:rsidRPr="007C5C9F">
        <w:rPr>
          <w:lang w:val="nn-NO"/>
        </w:rPr>
        <w:t xml:space="preserve"> kjernekonvensjon. </w:t>
      </w:r>
    </w:p>
    <w:p w:rsidR="002A0738" w:rsidRDefault="002A0738" w:rsidP="0098414A">
      <w:pPr>
        <w:rPr>
          <w:lang w:val="nn-NO"/>
        </w:rPr>
      </w:pPr>
    </w:p>
    <w:p w:rsidR="0098414A" w:rsidRDefault="0098414A" w:rsidP="0098414A">
      <w:pPr>
        <w:rPr>
          <w:lang w:val="nn-NO"/>
        </w:rPr>
      </w:pPr>
      <w:r>
        <w:rPr>
          <w:lang w:val="nn-NO"/>
        </w:rPr>
        <w:t>LDO deltar i fagrådet til Statens innkjøpssenter som blei etablert i janar 2016.</w:t>
      </w:r>
    </w:p>
    <w:p w:rsidR="0098414A" w:rsidRPr="007C5C9F" w:rsidRDefault="0098414A" w:rsidP="0098414A">
      <w:pPr>
        <w:keepNext/>
        <w:keepLines/>
        <w:spacing w:before="200" w:after="0"/>
        <w:outlineLvl w:val="2"/>
        <w:rPr>
          <w:b/>
          <w:bCs/>
          <w:lang w:val="nn-NO"/>
        </w:rPr>
      </w:pPr>
    </w:p>
    <w:p w:rsidR="0098414A" w:rsidRPr="007C5C9F" w:rsidRDefault="00C22C57" w:rsidP="006C5C63">
      <w:pPr>
        <w:pStyle w:val="Overskrift3"/>
      </w:pPr>
      <w:r>
        <w:br w:type="column"/>
      </w:r>
      <w:bookmarkStart w:id="38" w:name="_Toc476060738"/>
      <w:r w:rsidR="0098414A" w:rsidRPr="007C5C9F">
        <w:lastRenderedPageBreak/>
        <w:t>Kompetanseheving i LDO</w:t>
      </w:r>
      <w:bookmarkEnd w:id="38"/>
    </w:p>
    <w:p w:rsidR="0098414A" w:rsidRPr="007C5C9F" w:rsidRDefault="0098414A" w:rsidP="0098414A">
      <w:pPr>
        <w:rPr>
          <w:lang w:val="nn-NO"/>
        </w:rPr>
      </w:pPr>
      <w:r w:rsidRPr="007C5C9F">
        <w:rPr>
          <w:lang w:val="nn-NO"/>
        </w:rPr>
        <w:t>LDO er avhengig av kontinuerleg fagleg utvikling og oppdatering for å gjennomføre arbeidsoppgåvene som ligg til organisasjonen</w:t>
      </w:r>
      <w:r>
        <w:rPr>
          <w:lang w:val="nn-NO"/>
        </w:rPr>
        <w:t xml:space="preserve"> </w:t>
      </w:r>
      <w:r w:rsidRPr="007C5C9F">
        <w:rPr>
          <w:lang w:val="nn-NO"/>
        </w:rPr>
        <w:t>s</w:t>
      </w:r>
      <w:r>
        <w:rPr>
          <w:lang w:val="nn-NO"/>
        </w:rPr>
        <w:t>itt</w:t>
      </w:r>
      <w:r w:rsidRPr="007C5C9F">
        <w:rPr>
          <w:lang w:val="nn-NO"/>
        </w:rPr>
        <w:t xml:space="preserve"> mandat. Mykje av den faglege utviklinga vi</w:t>
      </w:r>
      <w:r>
        <w:rPr>
          <w:lang w:val="nn-NO"/>
        </w:rPr>
        <w:t>l til ei kvar tid ligge til ombo</w:t>
      </w:r>
      <w:r w:rsidRPr="007C5C9F">
        <w:rPr>
          <w:lang w:val="nn-NO"/>
        </w:rPr>
        <w:t>det</w:t>
      </w:r>
      <w:r>
        <w:rPr>
          <w:lang w:val="nn-NO"/>
        </w:rPr>
        <w:t xml:space="preserve"> </w:t>
      </w:r>
      <w:r w:rsidRPr="007C5C9F">
        <w:rPr>
          <w:lang w:val="nn-NO"/>
        </w:rPr>
        <w:t>s</w:t>
      </w:r>
      <w:r>
        <w:rPr>
          <w:lang w:val="nn-NO"/>
        </w:rPr>
        <w:t>ine hovu</w:t>
      </w:r>
      <w:r w:rsidRPr="007C5C9F">
        <w:rPr>
          <w:lang w:val="nn-NO"/>
        </w:rPr>
        <w:t>doppgåver: lovhandheving, rettleiing og eit aktivt likestillingsarbeid.</w:t>
      </w:r>
    </w:p>
    <w:p w:rsidR="0098414A" w:rsidRPr="007C5C9F" w:rsidRDefault="0098414A" w:rsidP="0098414A">
      <w:pPr>
        <w:rPr>
          <w:lang w:val="nn-NO"/>
        </w:rPr>
      </w:pPr>
    </w:p>
    <w:p w:rsidR="0098414A" w:rsidRPr="007C5C9F" w:rsidRDefault="0098414A" w:rsidP="0098414A">
      <w:pPr>
        <w:rPr>
          <w:lang w:val="nn-NO"/>
        </w:rPr>
      </w:pPr>
      <w:r w:rsidRPr="007C5C9F">
        <w:rPr>
          <w:lang w:val="nn-NO"/>
        </w:rPr>
        <w:t>Avdelingsleiarane i LDO, i dialog med sine tilsette, er ansvarleg</w:t>
      </w:r>
      <w:r>
        <w:rPr>
          <w:lang w:val="nn-NO"/>
        </w:rPr>
        <w:t>e</w:t>
      </w:r>
      <w:r w:rsidRPr="007C5C9F">
        <w:rPr>
          <w:lang w:val="nn-NO"/>
        </w:rPr>
        <w:t xml:space="preserve"> for å sørge for at dei tilsette til ei </w:t>
      </w:r>
      <w:r>
        <w:rPr>
          <w:lang w:val="nn-NO"/>
        </w:rPr>
        <w:t>kvar tid har rett kompetanse til</w:t>
      </w:r>
      <w:r w:rsidRPr="007C5C9F">
        <w:rPr>
          <w:lang w:val="nn-NO"/>
        </w:rPr>
        <w:t xml:space="preserve"> å ivareta oppgåvene. </w:t>
      </w:r>
    </w:p>
    <w:p w:rsidR="0098414A" w:rsidRPr="007C5C9F" w:rsidRDefault="0098414A" w:rsidP="0098414A">
      <w:pPr>
        <w:rPr>
          <w:lang w:val="nn-NO"/>
        </w:rPr>
      </w:pPr>
    </w:p>
    <w:p w:rsidR="0098414A" w:rsidRPr="007C5C9F" w:rsidRDefault="0098414A" w:rsidP="0098414A">
      <w:pPr>
        <w:rPr>
          <w:lang w:val="nn-NO"/>
        </w:rPr>
      </w:pPr>
      <w:r w:rsidRPr="007C5C9F">
        <w:rPr>
          <w:lang w:val="nn-NO"/>
        </w:rPr>
        <w:t>LDO har god kompetanse til å ta hand om våre kjerneoppgåver. Vi har ein god balanse mellom ulike fagområder, mellom spesialkompetanse og breddekompetanse og på utviklingsarbeid. Det er likevel behov for å få styrka og halde ved like kompetansen på fleire områder for å gjennomføre våre aktivitetar på ein god måte og å gjere verkeleg veivala vi til ei kvar tid sett oss.</w:t>
      </w:r>
    </w:p>
    <w:p w:rsidR="0098414A" w:rsidRPr="007C5C9F" w:rsidRDefault="0098414A" w:rsidP="0098414A">
      <w:pPr>
        <w:rPr>
          <w:lang w:val="nn-NO"/>
        </w:rPr>
      </w:pPr>
    </w:p>
    <w:p w:rsidR="0098414A" w:rsidRPr="007C5C9F" w:rsidRDefault="0098414A" w:rsidP="0098414A">
      <w:pPr>
        <w:rPr>
          <w:lang w:val="nn-NO"/>
        </w:rPr>
      </w:pPr>
      <w:r w:rsidRPr="007C5C9F">
        <w:rPr>
          <w:lang w:val="nn-NO"/>
        </w:rPr>
        <w:t>Vi har fast tradisjon for å sørge for god oppdatering på internasjonal rettsutvikling på vårt arbeidsfelt, blant anna gjennom Equinet, det europeiske nettverket for statlege organ tilsvarande Likes</w:t>
      </w:r>
      <w:r>
        <w:rPr>
          <w:lang w:val="nn-NO"/>
        </w:rPr>
        <w:t>tillings- og diskrimineringsombo</w:t>
      </w:r>
      <w:r w:rsidRPr="007C5C9F">
        <w:rPr>
          <w:lang w:val="nn-NO"/>
        </w:rPr>
        <w:t>det. Vi har også opparbeida eit godt nettverk for fagl</w:t>
      </w:r>
      <w:r>
        <w:rPr>
          <w:lang w:val="nn-NO"/>
        </w:rPr>
        <w:t>eg oppdatering og utvikling inna</w:t>
      </w:r>
      <w:r w:rsidRPr="007C5C9F">
        <w:rPr>
          <w:lang w:val="nn-NO"/>
        </w:rPr>
        <w:t>n menneskerettane. Det blir sett av eit fast beløp pr ansatt i LDO for å ta hand om kompetanseutviklinga i organisasjonen og for den enkelte. Ein av våre seniorrådgjevarar hospitert</w:t>
      </w:r>
      <w:r>
        <w:rPr>
          <w:lang w:val="nn-NO"/>
        </w:rPr>
        <w:t>e</w:t>
      </w:r>
      <w:r w:rsidRPr="007C5C9F">
        <w:rPr>
          <w:lang w:val="nn-NO"/>
        </w:rPr>
        <w:t xml:space="preserve"> i Køb</w:t>
      </w:r>
      <w:r>
        <w:rPr>
          <w:lang w:val="nn-NO"/>
        </w:rPr>
        <w:t>enhavn i regi av den nordiske t</w:t>
      </w:r>
      <w:r w:rsidRPr="007C5C9F">
        <w:rPr>
          <w:lang w:val="nn-NO"/>
        </w:rPr>
        <w:t>enestemannsutv</w:t>
      </w:r>
      <w:r>
        <w:rPr>
          <w:lang w:val="nn-NO"/>
        </w:rPr>
        <w:t>ekslinga og vi har også hatt ein</w:t>
      </w:r>
      <w:r w:rsidRPr="007C5C9F">
        <w:rPr>
          <w:lang w:val="nn-NO"/>
        </w:rPr>
        <w:t xml:space="preserve"> av våre juristar på hospitering hos Difi</w:t>
      </w:r>
      <w:r>
        <w:rPr>
          <w:lang w:val="nn-NO"/>
        </w:rPr>
        <w:t xml:space="preserve"> og ein jurist hos BLD</w:t>
      </w:r>
      <w:r w:rsidRPr="007C5C9F">
        <w:rPr>
          <w:lang w:val="nn-NO"/>
        </w:rPr>
        <w:t xml:space="preserve">. </w:t>
      </w:r>
      <w:r>
        <w:rPr>
          <w:lang w:val="nn-NO"/>
        </w:rPr>
        <w:t>Ombodet</w:t>
      </w:r>
      <w:r w:rsidRPr="007C5C9F">
        <w:rPr>
          <w:lang w:val="nn-NO"/>
        </w:rPr>
        <w:t xml:space="preserve"> delt</w:t>
      </w:r>
      <w:r>
        <w:rPr>
          <w:lang w:val="nn-NO"/>
        </w:rPr>
        <w:t>ar også i statlege nettverk innan HR, mangfa</w:t>
      </w:r>
      <w:r w:rsidRPr="007C5C9F">
        <w:rPr>
          <w:lang w:val="nn-NO"/>
        </w:rPr>
        <w:t>ld og drift/økonomi.</w:t>
      </w:r>
    </w:p>
    <w:p w:rsidR="0098414A" w:rsidRPr="007C5C9F" w:rsidRDefault="0098414A" w:rsidP="0098414A">
      <w:pPr>
        <w:keepNext/>
        <w:keepLines/>
        <w:spacing w:before="200" w:after="0"/>
        <w:outlineLvl w:val="1"/>
        <w:rPr>
          <w:rFonts w:eastAsiaTheme="majorEastAsia"/>
          <w:b/>
          <w:bCs/>
          <w:sz w:val="28"/>
          <w:szCs w:val="28"/>
          <w:lang w:val="nn-NO"/>
        </w:rPr>
      </w:pPr>
    </w:p>
    <w:p w:rsidR="0098414A" w:rsidRPr="007C5C9F" w:rsidRDefault="0098414A" w:rsidP="006C5C63">
      <w:pPr>
        <w:pStyle w:val="Overskrift2"/>
        <w:rPr>
          <w:rFonts w:eastAsiaTheme="majorEastAsia"/>
        </w:rPr>
      </w:pPr>
      <w:bookmarkStart w:id="39" w:name="_Toc476060739"/>
      <w:r w:rsidRPr="007C5C9F">
        <w:rPr>
          <w:rFonts w:eastAsiaTheme="majorEastAsia"/>
        </w:rPr>
        <w:t>Aktivitetsplikta som arbeidsgjevar</w:t>
      </w:r>
      <w:bookmarkEnd w:id="39"/>
    </w:p>
    <w:p w:rsidR="0098414A" w:rsidRPr="007C5C9F" w:rsidRDefault="0098414A" w:rsidP="0098414A">
      <w:pPr>
        <w:rPr>
          <w:lang w:val="nn-NO"/>
        </w:rPr>
      </w:pPr>
      <w:r>
        <w:rPr>
          <w:lang w:val="nn-NO"/>
        </w:rPr>
        <w:t>Aktivitetsplikta</w:t>
      </w:r>
      <w:r w:rsidRPr="00AF1958">
        <w:rPr>
          <w:lang w:val="nn-NO"/>
        </w:rPr>
        <w:t xml:space="preserve"> so</w:t>
      </w:r>
      <w:r>
        <w:rPr>
          <w:lang w:val="nn-NO"/>
        </w:rPr>
        <w:t>m arbeidsgiva</w:t>
      </w:r>
      <w:r w:rsidRPr="00AF1958">
        <w:rPr>
          <w:lang w:val="nn-NO"/>
        </w:rPr>
        <w:t xml:space="preserve">r er viktig </w:t>
      </w:r>
      <w:r>
        <w:rPr>
          <w:lang w:val="nn-NO"/>
        </w:rPr>
        <w:t xml:space="preserve">for </w:t>
      </w:r>
      <w:r w:rsidRPr="00AF1958">
        <w:rPr>
          <w:lang w:val="nn-NO"/>
        </w:rPr>
        <w:t xml:space="preserve">oss. </w:t>
      </w:r>
      <w:r w:rsidRPr="007C5C9F">
        <w:rPr>
          <w:lang w:val="nn-NO"/>
        </w:rPr>
        <w:t>Vi har dei siste åra fokusert på likestilt re</w:t>
      </w:r>
      <w:r>
        <w:rPr>
          <w:lang w:val="nn-NO"/>
        </w:rPr>
        <w:t>kruttering. Satsinga har to hovu</w:t>
      </w:r>
      <w:r w:rsidRPr="007C5C9F">
        <w:rPr>
          <w:lang w:val="nn-NO"/>
        </w:rPr>
        <w:t>dmålset</w:t>
      </w:r>
      <w:r>
        <w:rPr>
          <w:lang w:val="nn-NO"/>
        </w:rPr>
        <w:t>t</w:t>
      </w:r>
      <w:r w:rsidRPr="007C5C9F">
        <w:rPr>
          <w:lang w:val="nn-NO"/>
        </w:rPr>
        <w:t>ingar: 1) Sørge for at LDO</w:t>
      </w:r>
      <w:r>
        <w:rPr>
          <w:lang w:val="nn-NO"/>
        </w:rPr>
        <w:t xml:space="preserve"> </w:t>
      </w:r>
      <w:r w:rsidRPr="007C5C9F">
        <w:rPr>
          <w:lang w:val="nn-NO"/>
        </w:rPr>
        <w:t>s</w:t>
      </w:r>
      <w:r>
        <w:rPr>
          <w:lang w:val="nn-NO"/>
        </w:rPr>
        <w:t>in</w:t>
      </w:r>
      <w:r w:rsidRPr="007C5C9F">
        <w:rPr>
          <w:lang w:val="nn-NO"/>
        </w:rPr>
        <w:t xml:space="preserve"> rekruttering er profesjonell, lik</w:t>
      </w:r>
      <w:r>
        <w:rPr>
          <w:lang w:val="nn-NO"/>
        </w:rPr>
        <w:t>estilt og ikkje-diskriminerande og</w:t>
      </w:r>
      <w:r w:rsidRPr="007C5C9F">
        <w:rPr>
          <w:lang w:val="nn-NO"/>
        </w:rPr>
        <w:t xml:space="preserve"> 2) Sørge for at LDO kan gi betre rettleiing om likestilt rekruttering eksternt. Som ein del av arbeidet har vi vurdert eigen rekrutteringspraksis og utvikla eit rammeverk for likestilt rekruttering. </w:t>
      </w:r>
    </w:p>
    <w:p w:rsidR="0098414A" w:rsidRPr="007C5C9F" w:rsidRDefault="0098414A" w:rsidP="0098414A">
      <w:pPr>
        <w:rPr>
          <w:lang w:val="nn-NO"/>
        </w:rPr>
      </w:pPr>
    </w:p>
    <w:p w:rsidR="0098414A" w:rsidRDefault="0098414A" w:rsidP="0098414A">
      <w:pPr>
        <w:rPr>
          <w:lang w:val="nn-NO"/>
        </w:rPr>
      </w:pPr>
      <w:r w:rsidRPr="007C5C9F">
        <w:rPr>
          <w:lang w:val="nn-NO"/>
        </w:rPr>
        <w:t>Vi har gått gjennom alle dei styrande do</w:t>
      </w:r>
      <w:r>
        <w:rPr>
          <w:lang w:val="nn-NO"/>
        </w:rPr>
        <w:t>kumenta for rekruttering og ombo</w:t>
      </w:r>
      <w:r w:rsidRPr="007C5C9F">
        <w:rPr>
          <w:lang w:val="nn-NO"/>
        </w:rPr>
        <w:t>det</w:t>
      </w:r>
      <w:r>
        <w:rPr>
          <w:lang w:val="nn-NO"/>
        </w:rPr>
        <w:t xml:space="preserve"> </w:t>
      </w:r>
      <w:r w:rsidRPr="007C5C9F">
        <w:rPr>
          <w:lang w:val="nn-NO"/>
        </w:rPr>
        <w:t>s</w:t>
      </w:r>
      <w:r>
        <w:rPr>
          <w:lang w:val="nn-NO"/>
        </w:rPr>
        <w:t>in eigen praksis for rekruttering</w:t>
      </w:r>
      <w:r w:rsidRPr="007C5C9F">
        <w:rPr>
          <w:lang w:val="nn-NO"/>
        </w:rPr>
        <w:t xml:space="preserve"> for å identifisere diskrimineringsrisiko. Vi stilte spørsmålet om kvar det er fare for at det vi gjer i rekruttering får ulike verknadar for personer frå ulike grupper. </w:t>
      </w:r>
      <w:r>
        <w:rPr>
          <w:lang w:val="nn-NO"/>
        </w:rPr>
        <w:t>Arbeidet med ombodet sin rekrutteringspraksis er ført vidare som eit eige sats</w:t>
      </w:r>
      <w:r w:rsidRPr="007C5C9F">
        <w:rPr>
          <w:lang w:val="nn-NO"/>
        </w:rPr>
        <w:t>ingsområde i 201</w:t>
      </w:r>
      <w:r>
        <w:rPr>
          <w:lang w:val="nn-NO"/>
        </w:rPr>
        <w:t>7</w:t>
      </w:r>
      <w:r w:rsidRPr="007C5C9F">
        <w:rPr>
          <w:lang w:val="nn-NO"/>
        </w:rPr>
        <w:t xml:space="preserve">. </w:t>
      </w:r>
    </w:p>
    <w:p w:rsidR="0098414A" w:rsidRDefault="0098414A" w:rsidP="0098414A">
      <w:pPr>
        <w:rPr>
          <w:lang w:val="nn-NO"/>
        </w:rPr>
      </w:pPr>
    </w:p>
    <w:p w:rsidR="0098414A" w:rsidRDefault="0098414A" w:rsidP="0098414A">
      <w:pPr>
        <w:rPr>
          <w:lang w:val="nn-NO"/>
        </w:rPr>
      </w:pPr>
      <w:r>
        <w:rPr>
          <w:lang w:val="nn-NO"/>
        </w:rPr>
        <w:t xml:space="preserve">Ombodet har i løpet av 2016 vore gjennom ein rekruteringsprosess for ny kommunikasjonssjef. Den som ble funnet best kvalifisert var ein mann. Detta auka prosentdelen av menn i leiargruppa med 20 prosent. I tillegg slutta fleira av ombodet sine erfarne kvinnelege seniorrådgjevarar i løpet av 2016. Dei er ikkje med på lønnsoversikta i tabell 8, siden dei har slutta i 2016. Det har medført at lønnsforskjellane mellom kvinner og menn har blitt endra samanlikna med året før. </w:t>
      </w:r>
    </w:p>
    <w:p w:rsidR="0098414A" w:rsidRDefault="0098414A" w:rsidP="0098414A">
      <w:pPr>
        <w:rPr>
          <w:lang w:val="nn-NO"/>
        </w:rPr>
      </w:pPr>
    </w:p>
    <w:p w:rsidR="0098414A" w:rsidRDefault="0098414A" w:rsidP="0098414A">
      <w:pPr>
        <w:rPr>
          <w:lang w:val="nn-NO"/>
        </w:rPr>
      </w:pPr>
      <w:r>
        <w:rPr>
          <w:lang w:val="nn-NO"/>
        </w:rPr>
        <w:t>Likestillings- og diskrimineringsombodet har ikkje store lønnsforskjellar. Samstundes er ombodet sin kjønnssamansetning typisk for ein kvinnedominert verksemd i offentleg sektor. Kvinner dominerar på dei lågaste stillingsnivåa. I ombodet gjeld dette konsulent, førstekonsulent og rådgjevar. Det inneber at utskiftningar på leiarnivå kan få konsekvensar for dei samla lønnsforskjellane mellom kvinner og menn.</w:t>
      </w:r>
    </w:p>
    <w:p w:rsidR="0098414A" w:rsidRDefault="0098414A" w:rsidP="0098414A">
      <w:pPr>
        <w:rPr>
          <w:lang w:val="nn-NO"/>
        </w:rPr>
      </w:pPr>
    </w:p>
    <w:p w:rsidR="0098414A" w:rsidRDefault="0098414A" w:rsidP="0098414A">
      <w:pPr>
        <w:rPr>
          <w:lang w:val="nn-NO"/>
        </w:rPr>
      </w:pPr>
      <w:r>
        <w:rPr>
          <w:lang w:val="nn-NO"/>
        </w:rPr>
        <w:t xml:space="preserve">Sjølv om ombodet har små lønnsforskjellar mellom kjønna, er vi opptatt av å følgja utviklinga. Etter ein analyse av situasjonen meinar ombodet at dette heng saman med karrieremoglegheitar. </w:t>
      </w:r>
    </w:p>
    <w:p w:rsidR="006C5C63" w:rsidRPr="007C5C9F" w:rsidRDefault="006C5C63" w:rsidP="0098414A">
      <w:pPr>
        <w:rPr>
          <w:lang w:val="nn-NO"/>
        </w:rPr>
      </w:pPr>
    </w:p>
    <w:p w:rsidR="0098414A" w:rsidRPr="007C5C9F" w:rsidRDefault="0098414A" w:rsidP="006C5C63">
      <w:pPr>
        <w:pStyle w:val="Overskrift3"/>
        <w:rPr>
          <w:rFonts w:eastAsiaTheme="majorEastAsia"/>
        </w:rPr>
      </w:pPr>
      <w:bookmarkStart w:id="40" w:name="_Toc476060740"/>
      <w:r w:rsidRPr="007C5C9F">
        <w:rPr>
          <w:rFonts w:eastAsiaTheme="majorEastAsia"/>
        </w:rPr>
        <w:t>Inkluderande arbeidsliv</w:t>
      </w:r>
      <w:bookmarkEnd w:id="40"/>
    </w:p>
    <w:p w:rsidR="0098414A" w:rsidRPr="007C5C9F" w:rsidRDefault="0098414A" w:rsidP="0098414A">
      <w:pPr>
        <w:rPr>
          <w:lang w:val="nn-NO"/>
        </w:rPr>
      </w:pPr>
      <w:r w:rsidRPr="007C5C9F">
        <w:rPr>
          <w:lang w:val="nn-NO"/>
        </w:rPr>
        <w:t>Med signering av ny Samarbeidsavtale om eit me</w:t>
      </w:r>
      <w:r>
        <w:rPr>
          <w:lang w:val="nn-NO"/>
        </w:rPr>
        <w:t>ir inkluderande arbeidsliv, blei</w:t>
      </w:r>
      <w:r w:rsidRPr="007C5C9F">
        <w:rPr>
          <w:lang w:val="nn-NO"/>
        </w:rPr>
        <w:t xml:space="preserve"> det lagt meir arb</w:t>
      </w:r>
      <w:r>
        <w:rPr>
          <w:lang w:val="nn-NO"/>
        </w:rPr>
        <w:t>eid i at mål- og aktivitetsplanen</w:t>
      </w:r>
      <w:r w:rsidRPr="007C5C9F">
        <w:rPr>
          <w:lang w:val="nn-NO"/>
        </w:rPr>
        <w:t xml:space="preserve"> knytta til denne skulle sjåast i samanheng med heile arbeidet knytta til eit førebyggande og inkluderande arbeidsmiljø i LDO. Mykje av det systematiske arbeidet som er knytta til personalforvaltning, kan også sjåast</w:t>
      </w:r>
      <w:r>
        <w:rPr>
          <w:lang w:val="nn-NO"/>
        </w:rPr>
        <w:t xml:space="preserve"> igjen i mål- og aktivitetsplanen</w:t>
      </w:r>
      <w:r w:rsidRPr="007C5C9F">
        <w:rPr>
          <w:lang w:val="nn-NO"/>
        </w:rPr>
        <w:t xml:space="preserve">.  </w:t>
      </w:r>
    </w:p>
    <w:p w:rsidR="0098414A" w:rsidRPr="007C5C9F" w:rsidRDefault="0098414A" w:rsidP="0098414A">
      <w:pPr>
        <w:rPr>
          <w:lang w:val="nn-NO"/>
        </w:rPr>
      </w:pPr>
    </w:p>
    <w:p w:rsidR="0098414A" w:rsidRPr="007C5C9F" w:rsidRDefault="0098414A" w:rsidP="0098414A">
      <w:pPr>
        <w:rPr>
          <w:lang w:val="nn-NO"/>
        </w:rPr>
      </w:pPr>
      <w:r w:rsidRPr="007C5C9F">
        <w:rPr>
          <w:lang w:val="nn-NO"/>
        </w:rPr>
        <w:t>I 201</w:t>
      </w:r>
      <w:r>
        <w:rPr>
          <w:lang w:val="nn-NO"/>
        </w:rPr>
        <w:t>6</w:t>
      </w:r>
      <w:r w:rsidRPr="007C5C9F">
        <w:rPr>
          <w:lang w:val="nn-NO"/>
        </w:rPr>
        <w:t xml:space="preserve"> har vi </w:t>
      </w:r>
      <w:r>
        <w:rPr>
          <w:lang w:val="nn-NO"/>
        </w:rPr>
        <w:t xml:space="preserve">bygd vidare på </w:t>
      </w:r>
      <w:r w:rsidRPr="007C5C9F">
        <w:rPr>
          <w:lang w:val="nn-NO"/>
        </w:rPr>
        <w:t>vårt nye, systematiske opplegg for gjennomføring av medarbeidarsamtalar og løn</w:t>
      </w:r>
      <w:r>
        <w:rPr>
          <w:lang w:val="nn-NO"/>
        </w:rPr>
        <w:t>n</w:t>
      </w:r>
      <w:r w:rsidRPr="007C5C9F">
        <w:rPr>
          <w:lang w:val="nn-NO"/>
        </w:rPr>
        <w:t>ssamtalar. Vi har som mål å gjennomføre begge samtalane på same tidspunkt for alle medarbeidarane i LDO, medarbeidarsamtalar i februar og løn</w:t>
      </w:r>
      <w:r>
        <w:rPr>
          <w:lang w:val="nn-NO"/>
        </w:rPr>
        <w:t>n</w:t>
      </w:r>
      <w:r w:rsidRPr="007C5C9F">
        <w:rPr>
          <w:lang w:val="nn-NO"/>
        </w:rPr>
        <w:t xml:space="preserve">ssamtalar i første halvdel av september. I tillegg skal alle ha en skriftleg oppfølgings- og utviklingsplan.  </w:t>
      </w:r>
    </w:p>
    <w:p w:rsidR="0098414A" w:rsidRPr="007C5C9F" w:rsidRDefault="0098414A" w:rsidP="0098414A">
      <w:pPr>
        <w:rPr>
          <w:lang w:val="nn-NO"/>
        </w:rPr>
      </w:pPr>
    </w:p>
    <w:p w:rsidR="0098414A" w:rsidRPr="007C5C9F" w:rsidRDefault="0098414A" w:rsidP="0098414A">
      <w:pPr>
        <w:rPr>
          <w:lang w:val="nn-NO"/>
        </w:rPr>
      </w:pPr>
      <w:r w:rsidRPr="007C5C9F">
        <w:rPr>
          <w:lang w:val="nn-NO"/>
        </w:rPr>
        <w:t xml:space="preserve">Vi har også rutine på at medarbeidarar ved tilbakekomst frå foreldrepermisjon får </w:t>
      </w:r>
      <w:r>
        <w:rPr>
          <w:lang w:val="nn-NO"/>
        </w:rPr>
        <w:t xml:space="preserve">tilbod om </w:t>
      </w:r>
      <w:r w:rsidRPr="007C5C9F">
        <w:rPr>
          <w:lang w:val="nn-NO"/>
        </w:rPr>
        <w:t>ein medarbeidarsamtale. Dette skal sikre ei likebehandling av medarbeidara</w:t>
      </w:r>
      <w:r>
        <w:rPr>
          <w:lang w:val="nn-NO"/>
        </w:rPr>
        <w:t>r</w:t>
      </w:r>
      <w:r w:rsidRPr="007C5C9F">
        <w:rPr>
          <w:lang w:val="nn-NO"/>
        </w:rPr>
        <w:t xml:space="preserve"> som h</w:t>
      </w:r>
      <w:r>
        <w:rPr>
          <w:lang w:val="nn-NO"/>
        </w:rPr>
        <w:t>ar vore i</w:t>
      </w:r>
      <w:r w:rsidRPr="007C5C9F">
        <w:rPr>
          <w:lang w:val="nn-NO"/>
        </w:rPr>
        <w:t xml:space="preserve"> permisjonar. Delar av medarbeidarsamtalen vil ta for seg behov for individuell tilrettelegging, og eit eventuelt etterslep når det gjeld løn</w:t>
      </w:r>
      <w:r>
        <w:rPr>
          <w:lang w:val="nn-NO"/>
        </w:rPr>
        <w:t>n</w:t>
      </w:r>
      <w:r w:rsidRPr="007C5C9F">
        <w:rPr>
          <w:lang w:val="nn-NO"/>
        </w:rPr>
        <w:t xml:space="preserve">. </w:t>
      </w:r>
    </w:p>
    <w:p w:rsidR="0098414A" w:rsidRPr="007C5C9F" w:rsidRDefault="0098414A" w:rsidP="0098414A">
      <w:pPr>
        <w:rPr>
          <w:lang w:val="nn-NO"/>
        </w:rPr>
      </w:pPr>
    </w:p>
    <w:p w:rsidR="0098414A" w:rsidRDefault="0098414A" w:rsidP="0098414A">
      <w:pPr>
        <w:rPr>
          <w:lang w:val="nn-NO"/>
        </w:rPr>
      </w:pPr>
      <w:r w:rsidRPr="007C5C9F">
        <w:rPr>
          <w:lang w:val="nn-NO"/>
        </w:rPr>
        <w:t>Det er viktig å ha seniorperspektivet høgt fram</w:t>
      </w:r>
      <w:r>
        <w:rPr>
          <w:lang w:val="nn-NO"/>
        </w:rPr>
        <w:t>me i medarbeidaroppfølginga. Ombo</w:t>
      </w:r>
      <w:r w:rsidRPr="007C5C9F">
        <w:rPr>
          <w:lang w:val="nn-NO"/>
        </w:rPr>
        <w:t>det tar hand om seniorperspektivet frå medarbei</w:t>
      </w:r>
      <w:r>
        <w:rPr>
          <w:lang w:val="nn-NO"/>
        </w:rPr>
        <w:t>dar fyller 55 år. Tidlegare blei</w:t>
      </w:r>
      <w:r w:rsidRPr="007C5C9F">
        <w:rPr>
          <w:lang w:val="nn-NO"/>
        </w:rPr>
        <w:t xml:space="preserve"> det gjennomført eigne seniorsamtalar i tillegg til medarbeidarsamtalen. Seniorperspektivet er nå ein integrert del av medarbeidarsamtalane og erfaringa så langt med dette er god. </w:t>
      </w:r>
    </w:p>
    <w:p w:rsidR="0098414A" w:rsidRPr="007C5C9F" w:rsidRDefault="0098414A" w:rsidP="0098414A">
      <w:pPr>
        <w:rPr>
          <w:lang w:val="nn-NO"/>
        </w:rPr>
      </w:pPr>
    </w:p>
    <w:p w:rsidR="0098414A" w:rsidRPr="001C5500" w:rsidRDefault="002A0738" w:rsidP="0098414A">
      <w:pPr>
        <w:rPr>
          <w:u w:val="single"/>
          <w:lang w:val="nn-NO"/>
        </w:rPr>
      </w:pPr>
      <w:r>
        <w:rPr>
          <w:u w:val="single"/>
          <w:lang w:val="nn-NO"/>
        </w:rPr>
        <w:br w:type="column"/>
      </w:r>
      <w:r w:rsidR="0098414A" w:rsidRPr="001C5500">
        <w:rPr>
          <w:u w:val="single"/>
          <w:lang w:val="nn-NO"/>
        </w:rPr>
        <w:lastRenderedPageBreak/>
        <w:t xml:space="preserve">Tabell 8: Kjønnsbalanse </w:t>
      </w:r>
      <w:r w:rsidR="0098414A">
        <w:rPr>
          <w:u w:val="single"/>
          <w:lang w:val="nn-NO"/>
        </w:rPr>
        <w:t xml:space="preserve">og lønn i 2016 </w:t>
      </w:r>
    </w:p>
    <w:tbl>
      <w:tblPr>
        <w:tblW w:w="9018" w:type="dxa"/>
        <w:tblInd w:w="-25" w:type="dxa"/>
        <w:tblCellMar>
          <w:left w:w="70" w:type="dxa"/>
          <w:right w:w="70" w:type="dxa"/>
        </w:tblCellMar>
        <w:tblLook w:val="04A0" w:firstRow="1" w:lastRow="0" w:firstColumn="1" w:lastColumn="0" w:noHBand="0" w:noVBand="1"/>
      </w:tblPr>
      <w:tblGrid>
        <w:gridCol w:w="2982"/>
        <w:gridCol w:w="813"/>
        <w:gridCol w:w="754"/>
        <w:gridCol w:w="677"/>
        <w:gridCol w:w="696"/>
        <w:gridCol w:w="1267"/>
        <w:gridCol w:w="1829"/>
      </w:tblGrid>
      <w:tr w:rsidR="0098414A" w:rsidRPr="000C5E1F" w:rsidTr="0052314F">
        <w:trPr>
          <w:trHeight w:val="176"/>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14A" w:rsidRPr="001C5500" w:rsidRDefault="0098414A" w:rsidP="0052314F">
            <w:pPr>
              <w:spacing w:before="0" w:after="0"/>
              <w:rPr>
                <w:rFonts w:ascii="Arial" w:hAnsi="Arial" w:cs="Arial"/>
                <w:sz w:val="20"/>
                <w:szCs w:val="20"/>
                <w:lang w:val="nn-NO"/>
              </w:rPr>
            </w:pPr>
            <w:r w:rsidRPr="001C5500">
              <w:rPr>
                <w:rFonts w:ascii="Arial" w:hAnsi="Arial" w:cs="Arial"/>
                <w:sz w:val="20"/>
                <w:szCs w:val="20"/>
                <w:lang w:val="nn-NO"/>
              </w:rPr>
              <w:t> </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8414A" w:rsidRPr="001C5500" w:rsidRDefault="0098414A" w:rsidP="0052314F">
            <w:pPr>
              <w:spacing w:before="0" w:after="0"/>
              <w:rPr>
                <w:rFonts w:ascii="Arial" w:hAnsi="Arial" w:cs="Arial"/>
                <w:sz w:val="20"/>
                <w:szCs w:val="20"/>
                <w:lang w:val="nn-NO"/>
              </w:rPr>
            </w:pPr>
            <w:r w:rsidRPr="001C5500">
              <w:rPr>
                <w:rFonts w:ascii="Arial" w:hAnsi="Arial" w:cs="Arial"/>
                <w:sz w:val="20"/>
                <w:szCs w:val="20"/>
                <w:lang w:val="nn-NO"/>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98414A" w:rsidRPr="001C5500" w:rsidRDefault="0098414A" w:rsidP="0052314F">
            <w:pPr>
              <w:spacing w:before="0" w:after="0"/>
              <w:rPr>
                <w:rFonts w:ascii="Arial" w:hAnsi="Arial" w:cs="Arial"/>
                <w:sz w:val="20"/>
                <w:szCs w:val="20"/>
                <w:lang w:val="nn-NO"/>
              </w:rPr>
            </w:pPr>
            <w:r w:rsidRPr="001C5500">
              <w:rPr>
                <w:rFonts w:ascii="Arial" w:hAnsi="Arial" w:cs="Arial"/>
                <w:sz w:val="20"/>
                <w:szCs w:val="20"/>
                <w:lang w:val="nn-NO"/>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98414A" w:rsidRPr="001C5500" w:rsidRDefault="0098414A" w:rsidP="0052314F">
            <w:pPr>
              <w:spacing w:before="0" w:after="0"/>
              <w:rPr>
                <w:rFonts w:ascii="Arial" w:hAnsi="Arial" w:cs="Arial"/>
                <w:sz w:val="20"/>
                <w:szCs w:val="20"/>
                <w:lang w:val="nn-NO"/>
              </w:rPr>
            </w:pPr>
            <w:r w:rsidRPr="001C5500">
              <w:rPr>
                <w:rFonts w:ascii="Arial" w:hAnsi="Arial" w:cs="Arial"/>
                <w:sz w:val="20"/>
                <w:szCs w:val="20"/>
                <w:lang w:val="nn-NO"/>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8414A" w:rsidRPr="001C5500" w:rsidRDefault="0098414A" w:rsidP="0052314F">
            <w:pPr>
              <w:spacing w:before="0" w:after="0"/>
              <w:rPr>
                <w:rFonts w:ascii="Arial" w:hAnsi="Arial" w:cs="Arial"/>
                <w:sz w:val="20"/>
                <w:szCs w:val="20"/>
                <w:lang w:val="nn-NO"/>
              </w:rPr>
            </w:pPr>
            <w:r w:rsidRPr="001C5500">
              <w:rPr>
                <w:rFonts w:ascii="Arial" w:hAnsi="Arial" w:cs="Arial"/>
                <w:sz w:val="20"/>
                <w:szCs w:val="20"/>
                <w:lang w:val="nn-NO"/>
              </w:rPr>
              <w:t> </w:t>
            </w:r>
          </w:p>
        </w:tc>
        <w:tc>
          <w:tcPr>
            <w:tcW w:w="3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Løn: Kvinners løn</w:t>
            </w:r>
            <w:r>
              <w:rPr>
                <w:rFonts w:ascii="Arial" w:hAnsi="Arial" w:cs="Arial"/>
                <w:sz w:val="20"/>
                <w:szCs w:val="20"/>
              </w:rPr>
              <w:t>n</w:t>
            </w:r>
            <w:r w:rsidRPr="000C5E1F">
              <w:rPr>
                <w:rFonts w:ascii="Arial" w:hAnsi="Arial" w:cs="Arial"/>
                <w:sz w:val="20"/>
                <w:szCs w:val="20"/>
              </w:rPr>
              <w:t xml:space="preserve"> i prosent av menns</w:t>
            </w:r>
          </w:p>
        </w:tc>
      </w:tr>
      <w:tr w:rsidR="0098414A" w:rsidRPr="000C5E1F" w:rsidTr="0052314F">
        <w:trPr>
          <w:trHeight w:val="17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år = 2016</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M%</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K%</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Total</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M (kr/%)</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K (kr/%)</w:t>
            </w:r>
          </w:p>
        </w:tc>
      </w:tr>
      <w:tr w:rsidR="0098414A" w:rsidRPr="000C5E1F" w:rsidTr="0052314F">
        <w:trPr>
          <w:trHeight w:val="17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 = 2015</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N</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Totalt i LDO</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r>
              <w:rPr>
                <w:rFonts w:ascii="Arial" w:hAnsi="Arial" w:cs="Arial"/>
                <w:sz w:val="20"/>
                <w:szCs w:val="20"/>
              </w:rPr>
              <w:t>32</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Pr>
                <w:rFonts w:ascii="Arial" w:hAnsi="Arial" w:cs="Arial"/>
                <w:sz w:val="20"/>
                <w:szCs w:val="20"/>
              </w:rPr>
              <w:t>68</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Pr>
                <w:rFonts w:ascii="Arial" w:hAnsi="Arial" w:cs="Arial"/>
                <w:sz w:val="20"/>
                <w:szCs w:val="20"/>
              </w:rPr>
              <w:t>57</w:t>
            </w:r>
            <w:r w:rsidR="00BD0E26">
              <w:rPr>
                <w:rStyle w:val="Fotnotereferanse"/>
                <w:rFonts w:ascii="Arial" w:hAnsi="Arial" w:cs="Arial"/>
                <w:sz w:val="20"/>
                <w:szCs w:val="20"/>
              </w:rPr>
              <w:footnoteReference w:id="4"/>
            </w:r>
            <w:r w:rsidRPr="000C5E1F">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Pr>
                <w:rFonts w:ascii="Arial" w:hAnsi="Arial" w:cs="Arial"/>
                <w:sz w:val="20"/>
                <w:szCs w:val="20"/>
              </w:rPr>
              <w:t>100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Pr>
                <w:rFonts w:ascii="Arial" w:hAnsi="Arial" w:cs="Arial"/>
                <w:sz w:val="20"/>
                <w:szCs w:val="20"/>
              </w:rPr>
              <w:t>97,39</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26</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74</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68</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100,26</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Pr>
                <w:rFonts w:ascii="Arial" w:hAnsi="Arial" w:cs="Arial"/>
                <w:sz w:val="20"/>
                <w:szCs w:val="20"/>
              </w:rPr>
              <w:t>Ombo</w:t>
            </w:r>
            <w:r w:rsidRPr="000C5E1F">
              <w:rPr>
                <w:rFonts w:ascii="Arial" w:hAnsi="Arial" w:cs="Arial"/>
                <w:sz w:val="20"/>
                <w:szCs w:val="20"/>
              </w:rPr>
              <w:t>det</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Avdelingsle</w:t>
            </w:r>
            <w:r>
              <w:rPr>
                <w:rFonts w:ascii="Arial" w:hAnsi="Arial" w:cs="Arial"/>
                <w:sz w:val="20"/>
                <w:szCs w:val="20"/>
              </w:rPr>
              <w:t>ia</w:t>
            </w:r>
            <w:r w:rsidRPr="000C5E1F">
              <w:rPr>
                <w:rFonts w:ascii="Arial" w:hAnsi="Arial" w:cs="Arial"/>
                <w:sz w:val="20"/>
                <w:szCs w:val="20"/>
              </w:rPr>
              <w:t xml:space="preserve">r *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40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60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5</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100/750 050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98,66/739 967</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80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5</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100/711 800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102,62/730 450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Fagdirektør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40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60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5</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100/621 200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99,37/617 300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29</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71</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7</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100/616 100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100/616 100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Seniorrådg</w:t>
            </w:r>
            <w:r>
              <w:rPr>
                <w:rFonts w:ascii="Arial" w:hAnsi="Arial" w:cs="Arial"/>
                <w:sz w:val="20"/>
                <w:szCs w:val="20"/>
              </w:rPr>
              <w:t>jeva</w:t>
            </w:r>
            <w:r w:rsidRPr="000C5E1F">
              <w:rPr>
                <w:rFonts w:ascii="Arial" w:hAnsi="Arial" w:cs="Arial"/>
                <w:sz w:val="20"/>
                <w:szCs w:val="20"/>
              </w:rPr>
              <w:t>r</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36</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64</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28</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100/558 520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99,36/554 950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34</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66</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29</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100/541 380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101,23/548 025</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Rådg</w:t>
            </w:r>
            <w:r>
              <w:rPr>
                <w:rFonts w:ascii="Arial" w:hAnsi="Arial" w:cs="Arial"/>
                <w:sz w:val="20"/>
                <w:szCs w:val="20"/>
              </w:rPr>
              <w:t>je</w:t>
            </w:r>
            <w:r w:rsidRPr="000C5E1F">
              <w:rPr>
                <w:rFonts w:ascii="Arial" w:hAnsi="Arial" w:cs="Arial"/>
                <w:sz w:val="20"/>
                <w:szCs w:val="20"/>
              </w:rPr>
              <w:t>v</w:t>
            </w:r>
            <w:r>
              <w:rPr>
                <w:rFonts w:ascii="Arial" w:hAnsi="Arial" w:cs="Arial"/>
                <w:sz w:val="20"/>
                <w:szCs w:val="20"/>
              </w:rPr>
              <w:t>a</w:t>
            </w:r>
            <w:r w:rsidRPr="000C5E1F">
              <w:rPr>
                <w:rFonts w:ascii="Arial" w:hAnsi="Arial" w:cs="Arial"/>
                <w:sz w:val="20"/>
                <w:szCs w:val="20"/>
              </w:rPr>
              <w:t>r</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80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15</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100/490 067</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100,59/492 955</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80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20</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100/481 700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101,05/486 747</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Førstekonsulent</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0</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100/456 050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Konsulent</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100/465 000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100/452 400</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Konsulent</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Timebetalt</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2</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Timebetalt</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Førstesekretær</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xml:space="preserve">I år </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100/372 400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r>
      <w:tr w:rsidR="0098414A" w:rsidRPr="000C5E1F" w:rsidTr="0052314F">
        <w:trPr>
          <w:trHeight w:val="29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I fjor</w:t>
            </w:r>
          </w:p>
        </w:tc>
        <w:tc>
          <w:tcPr>
            <w:tcW w:w="754"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w:t>
            </w:r>
          </w:p>
        </w:tc>
        <w:tc>
          <w:tcPr>
            <w:tcW w:w="67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rPr>
                <w:rFonts w:ascii="Arial" w:hAnsi="Arial" w:cs="Arial"/>
                <w:sz w:val="20"/>
                <w:szCs w:val="20"/>
              </w:rPr>
            </w:pPr>
            <w:r w:rsidRPr="000C5E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100/370 500</w:t>
            </w:r>
          </w:p>
        </w:tc>
        <w:tc>
          <w:tcPr>
            <w:tcW w:w="1828" w:type="dxa"/>
            <w:tcBorders>
              <w:top w:val="nil"/>
              <w:left w:val="nil"/>
              <w:bottom w:val="single" w:sz="4" w:space="0" w:color="auto"/>
              <w:right w:val="single" w:sz="4" w:space="0" w:color="auto"/>
            </w:tcBorders>
            <w:shd w:val="clear" w:color="auto" w:fill="auto"/>
            <w:noWrap/>
            <w:vAlign w:val="bottom"/>
            <w:hideMark/>
          </w:tcPr>
          <w:p w:rsidR="0098414A" w:rsidRPr="000C5E1F" w:rsidRDefault="0098414A" w:rsidP="0052314F">
            <w:pPr>
              <w:spacing w:before="0" w:after="0"/>
              <w:jc w:val="right"/>
              <w:rPr>
                <w:rFonts w:ascii="Arial" w:hAnsi="Arial" w:cs="Arial"/>
                <w:sz w:val="20"/>
                <w:szCs w:val="20"/>
              </w:rPr>
            </w:pPr>
            <w:r w:rsidRPr="000C5E1F">
              <w:rPr>
                <w:rFonts w:ascii="Arial" w:hAnsi="Arial" w:cs="Arial"/>
                <w:sz w:val="20"/>
                <w:szCs w:val="20"/>
              </w:rPr>
              <w:t> </w:t>
            </w:r>
          </w:p>
        </w:tc>
      </w:tr>
    </w:tbl>
    <w:p w:rsidR="007610ED" w:rsidRDefault="007610ED" w:rsidP="0098414A"/>
    <w:p w:rsidR="0098414A" w:rsidRPr="003A6704" w:rsidRDefault="0098414A" w:rsidP="0098414A">
      <w:pPr>
        <w:rPr>
          <w:lang w:val="nn-NO"/>
        </w:rPr>
      </w:pPr>
      <w:r w:rsidRPr="00872777">
        <w:t>Tabellen viser kvinner sin lønn i prosent av menn sin lønn på kvart stillingsnivå per 31.</w:t>
      </w:r>
      <w:r w:rsidR="00085D8D">
        <w:t> </w:t>
      </w:r>
      <w:r w:rsidRPr="00872777">
        <w:t xml:space="preserve">desember 2016. Gjennomsnittleg lønn per år er berekna ut frå heiltidsekvivalentar. </w:t>
      </w:r>
      <w:r w:rsidRPr="00085D8D">
        <w:rPr>
          <w:lang w:val="nn-NO"/>
        </w:rPr>
        <w:t xml:space="preserve">Medarbeidarar i permisjon utan lønn er ikkje med i gjennomsnittsberekninga, men inngår i </w:t>
      </w:r>
      <w:r w:rsidR="00085D8D" w:rsidRPr="00085D8D">
        <w:rPr>
          <w:lang w:val="nn-NO"/>
        </w:rPr>
        <w:t>totalen (</w:t>
      </w:r>
      <w:r w:rsidRPr="00085D8D">
        <w:rPr>
          <w:lang w:val="nn-NO"/>
        </w:rPr>
        <w:t>N</w:t>
      </w:r>
      <w:r w:rsidR="00085D8D" w:rsidRPr="00085D8D">
        <w:rPr>
          <w:lang w:val="nn-NO"/>
        </w:rPr>
        <w:t>)</w:t>
      </w:r>
      <w:r w:rsidRPr="00085D8D">
        <w:rPr>
          <w:lang w:val="nn-NO"/>
        </w:rPr>
        <w:t xml:space="preserve">. </w:t>
      </w:r>
      <w:r w:rsidRPr="003A6704">
        <w:rPr>
          <w:lang w:val="nn-NO"/>
        </w:rPr>
        <w:t xml:space="preserve">Ombodet får lønn etter leiarlønnstabellen, og er følgeleg heller ikkje med i oversikta, men inngår i </w:t>
      </w:r>
      <w:r w:rsidR="00085D8D" w:rsidRPr="003A6704">
        <w:rPr>
          <w:lang w:val="nn-NO"/>
        </w:rPr>
        <w:t>totalen</w:t>
      </w:r>
      <w:r w:rsidRPr="003A6704">
        <w:rPr>
          <w:lang w:val="nn-NO"/>
        </w:rPr>
        <w:t>.</w:t>
      </w:r>
    </w:p>
    <w:p w:rsidR="0098414A" w:rsidRPr="003A6704" w:rsidRDefault="0098414A" w:rsidP="0098414A">
      <w:pPr>
        <w:rPr>
          <w:lang w:val="nn-NO"/>
        </w:rPr>
      </w:pPr>
    </w:p>
    <w:p w:rsidR="0098414A" w:rsidRPr="00B416F2" w:rsidRDefault="0098414A" w:rsidP="0098414A">
      <w:pPr>
        <w:rPr>
          <w:lang w:val="nn-NO"/>
        </w:rPr>
      </w:pPr>
      <w:r w:rsidRPr="003A6704">
        <w:rPr>
          <w:lang w:val="nn-NO"/>
        </w:rPr>
        <w:t xml:space="preserve">Medarbeidere i permisjon utan lønn er med i N, men ikkje i gjennomsnittleg berekning av lønn. Ein fagdirektør fungerer som avdelingsleiar. </w:t>
      </w:r>
      <w:r>
        <w:rPr>
          <w:lang w:val="nn-NO"/>
        </w:rPr>
        <w:t>Vedkommande inngår i gruppa avdelingleia</w:t>
      </w:r>
      <w:r w:rsidRPr="00B416F2">
        <w:rPr>
          <w:lang w:val="nn-NO"/>
        </w:rPr>
        <w:t xml:space="preserve">r, både i </w:t>
      </w:r>
      <w:r w:rsidR="00085D8D">
        <w:rPr>
          <w:lang w:val="nn-NO"/>
        </w:rPr>
        <w:t>totalen</w:t>
      </w:r>
      <w:r w:rsidRPr="00B416F2">
        <w:rPr>
          <w:lang w:val="nn-NO"/>
        </w:rPr>
        <w:t xml:space="preserve"> og gj</w:t>
      </w:r>
      <w:r w:rsidR="00085D8D">
        <w:rPr>
          <w:lang w:val="nn-NO"/>
        </w:rPr>
        <w:t>ennom</w:t>
      </w:r>
      <w:r w:rsidRPr="00B416F2">
        <w:rPr>
          <w:lang w:val="nn-NO"/>
        </w:rPr>
        <w:t>snitt lønn.</w:t>
      </w:r>
    </w:p>
    <w:p w:rsidR="0098414A" w:rsidRPr="00B416F2" w:rsidRDefault="0098414A" w:rsidP="0098414A">
      <w:pPr>
        <w:rPr>
          <w:lang w:val="nn-NO"/>
        </w:rPr>
      </w:pPr>
      <w:r w:rsidRPr="00B416F2">
        <w:rPr>
          <w:lang w:val="nn-NO"/>
        </w:rPr>
        <w:br w:type="page"/>
      </w:r>
    </w:p>
    <w:p w:rsidR="0098414A" w:rsidRPr="003A6704" w:rsidRDefault="0098414A" w:rsidP="0098414A">
      <w:pPr>
        <w:rPr>
          <w:u w:val="single"/>
          <w:lang w:val="nn-NO"/>
        </w:rPr>
      </w:pPr>
      <w:r w:rsidRPr="003A6704">
        <w:rPr>
          <w:u w:val="single"/>
          <w:lang w:val="nn-NO"/>
        </w:rPr>
        <w:t xml:space="preserve">Tabell 9: Aktivitets- og rapporteringsplikt i LDO </w:t>
      </w:r>
    </w:p>
    <w:tbl>
      <w:tblPr>
        <w:tblStyle w:val="Tabellrutenett"/>
        <w:tblW w:w="9879" w:type="dxa"/>
        <w:tblLayout w:type="fixed"/>
        <w:tblLook w:val="04A0" w:firstRow="1" w:lastRow="0" w:firstColumn="1" w:lastColumn="0" w:noHBand="0" w:noVBand="1"/>
      </w:tblPr>
      <w:tblGrid>
        <w:gridCol w:w="1668"/>
        <w:gridCol w:w="1417"/>
        <w:gridCol w:w="1418"/>
        <w:gridCol w:w="1275"/>
        <w:gridCol w:w="1418"/>
        <w:gridCol w:w="1276"/>
        <w:gridCol w:w="1407"/>
      </w:tblGrid>
      <w:tr w:rsidR="0098414A" w:rsidRPr="007C5C9F" w:rsidTr="0052314F">
        <w:tc>
          <w:tcPr>
            <w:tcW w:w="9879" w:type="dxa"/>
            <w:gridSpan w:val="7"/>
          </w:tcPr>
          <w:p w:rsidR="0098414A" w:rsidRPr="007C5C9F" w:rsidRDefault="0098414A" w:rsidP="0052314F">
            <w:pPr>
              <w:rPr>
                <w:b/>
              </w:rPr>
            </w:pPr>
            <w:r w:rsidRPr="007C5C9F">
              <w:rPr>
                <w:b/>
              </w:rPr>
              <w:t>Område – rekruttering</w:t>
            </w:r>
          </w:p>
        </w:tc>
      </w:tr>
      <w:tr w:rsidR="0098414A" w:rsidRPr="007C5C9F" w:rsidTr="0052314F">
        <w:tc>
          <w:tcPr>
            <w:tcW w:w="1668" w:type="dxa"/>
          </w:tcPr>
          <w:p w:rsidR="0098414A" w:rsidRPr="007C5C9F" w:rsidRDefault="0098414A" w:rsidP="0052314F">
            <w:pPr>
              <w:tabs>
                <w:tab w:val="left" w:pos="1095"/>
              </w:tabs>
            </w:pPr>
            <w:r w:rsidRPr="007C5C9F">
              <w:t>Mål</w:t>
            </w:r>
            <w:r w:rsidRPr="007C5C9F">
              <w:tab/>
            </w:r>
          </w:p>
        </w:tc>
        <w:tc>
          <w:tcPr>
            <w:tcW w:w="1417" w:type="dxa"/>
          </w:tcPr>
          <w:p w:rsidR="0098414A" w:rsidRPr="007C5C9F" w:rsidRDefault="0098414A" w:rsidP="0052314F">
            <w:r w:rsidRPr="007C5C9F">
              <w:t>Tiltak</w:t>
            </w:r>
          </w:p>
        </w:tc>
        <w:tc>
          <w:tcPr>
            <w:tcW w:w="1418" w:type="dxa"/>
          </w:tcPr>
          <w:p w:rsidR="0098414A" w:rsidRPr="007C5C9F" w:rsidRDefault="0098414A" w:rsidP="0052314F">
            <w:r w:rsidRPr="007C5C9F">
              <w:t>Forankring</w:t>
            </w:r>
          </w:p>
        </w:tc>
        <w:tc>
          <w:tcPr>
            <w:tcW w:w="1275" w:type="dxa"/>
          </w:tcPr>
          <w:p w:rsidR="0098414A" w:rsidRPr="007C5C9F" w:rsidRDefault="0098414A" w:rsidP="0052314F">
            <w:r w:rsidRPr="007C5C9F">
              <w:t>Status</w:t>
            </w:r>
          </w:p>
        </w:tc>
        <w:tc>
          <w:tcPr>
            <w:tcW w:w="1418" w:type="dxa"/>
          </w:tcPr>
          <w:p w:rsidR="0098414A" w:rsidRPr="007C5C9F" w:rsidRDefault="0098414A" w:rsidP="0052314F">
            <w:r w:rsidRPr="007C5C9F">
              <w:t>Gjennomført</w:t>
            </w:r>
            <w:r w:rsidRPr="007C5C9F">
              <w:br/>
              <w:t>Ja/delvis/nei</w:t>
            </w:r>
          </w:p>
        </w:tc>
        <w:tc>
          <w:tcPr>
            <w:tcW w:w="1276" w:type="dxa"/>
          </w:tcPr>
          <w:p w:rsidR="0098414A" w:rsidRPr="007C5C9F" w:rsidRDefault="0098414A" w:rsidP="0052314F">
            <w:r w:rsidRPr="007C5C9F">
              <w:t>Ansvarleg i LDO</w:t>
            </w:r>
          </w:p>
        </w:tc>
        <w:tc>
          <w:tcPr>
            <w:tcW w:w="1407" w:type="dxa"/>
          </w:tcPr>
          <w:p w:rsidR="0098414A" w:rsidRPr="007C5C9F" w:rsidRDefault="0098414A" w:rsidP="0052314F">
            <w:r w:rsidRPr="007C5C9F">
              <w:t>Resultat per 201</w:t>
            </w:r>
            <w:r>
              <w:t>6</w:t>
            </w:r>
          </w:p>
        </w:tc>
      </w:tr>
      <w:tr w:rsidR="0098414A" w:rsidRPr="007C5C9F" w:rsidTr="0052314F">
        <w:tc>
          <w:tcPr>
            <w:tcW w:w="1668" w:type="dxa"/>
          </w:tcPr>
          <w:p w:rsidR="0098414A" w:rsidRPr="007C5C9F" w:rsidRDefault="0098414A" w:rsidP="0052314F">
            <w:r w:rsidRPr="007C5C9F">
              <w:t>LDO skal spegle mangfoldet i befolkninga</w:t>
            </w:r>
          </w:p>
        </w:tc>
        <w:tc>
          <w:tcPr>
            <w:tcW w:w="1417" w:type="dxa"/>
          </w:tcPr>
          <w:p w:rsidR="0098414A" w:rsidRPr="007C5C9F" w:rsidRDefault="0098414A" w:rsidP="0052314F">
            <w:r w:rsidRPr="007C5C9F">
              <w:t>Rekrutterer med mangfolds-erklæring i stillings-annonsar</w:t>
            </w:r>
          </w:p>
        </w:tc>
        <w:tc>
          <w:tcPr>
            <w:tcW w:w="1418" w:type="dxa"/>
          </w:tcPr>
          <w:p w:rsidR="0098414A" w:rsidRPr="007C5C9F" w:rsidRDefault="0098414A" w:rsidP="0052314F">
            <w:r w:rsidRPr="007C5C9F">
              <w:t>Personal-politikken</w:t>
            </w:r>
          </w:p>
        </w:tc>
        <w:tc>
          <w:tcPr>
            <w:tcW w:w="1275" w:type="dxa"/>
          </w:tcPr>
          <w:p w:rsidR="0098414A" w:rsidRPr="007C5C9F" w:rsidRDefault="0098414A" w:rsidP="0052314F"/>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Ombodet</w:t>
            </w:r>
          </w:p>
        </w:tc>
        <w:tc>
          <w:tcPr>
            <w:tcW w:w="1407" w:type="dxa"/>
          </w:tcPr>
          <w:p w:rsidR="0098414A" w:rsidRPr="007C5C9F" w:rsidRDefault="0098414A" w:rsidP="0052314F">
            <w:r w:rsidRPr="00C11FBD">
              <w:t>To stillingar utlyst, to menn ansatt</w:t>
            </w:r>
            <w:r>
              <w:t xml:space="preserve"> </w:t>
            </w:r>
          </w:p>
        </w:tc>
      </w:tr>
      <w:tr w:rsidR="0098414A" w:rsidRPr="00AF1958" w:rsidTr="0052314F">
        <w:tc>
          <w:tcPr>
            <w:tcW w:w="1668" w:type="dxa"/>
          </w:tcPr>
          <w:p w:rsidR="0098414A" w:rsidRPr="007C5C9F" w:rsidRDefault="0098414A" w:rsidP="0052314F">
            <w:r w:rsidRPr="007C5C9F">
              <w:t>Jevn kjønnsfordeling, kvinner (K) og menn (M)</w:t>
            </w:r>
          </w:p>
        </w:tc>
        <w:tc>
          <w:tcPr>
            <w:tcW w:w="1417" w:type="dxa"/>
          </w:tcPr>
          <w:p w:rsidR="0098414A" w:rsidRPr="007C5C9F" w:rsidRDefault="0098414A" w:rsidP="0052314F">
            <w:r w:rsidRPr="007C5C9F">
              <w:t>Som over</w:t>
            </w:r>
          </w:p>
        </w:tc>
        <w:tc>
          <w:tcPr>
            <w:tcW w:w="1418" w:type="dxa"/>
          </w:tcPr>
          <w:p w:rsidR="0098414A" w:rsidRPr="006529C7" w:rsidRDefault="0098414A" w:rsidP="0052314F">
            <w:r w:rsidRPr="006529C7">
              <w:t>Personal-</w:t>
            </w:r>
          </w:p>
          <w:p w:rsidR="0098414A" w:rsidRPr="006529C7" w:rsidRDefault="0098414A" w:rsidP="0052314F">
            <w:r w:rsidRPr="006529C7">
              <w:t>Politikken. Tilpasnings-</w:t>
            </w:r>
          </w:p>
          <w:p w:rsidR="0098414A" w:rsidRPr="006529C7" w:rsidRDefault="0098414A" w:rsidP="0052314F">
            <w:r w:rsidRPr="006529C7">
              <w:t>avtala</w:t>
            </w:r>
          </w:p>
        </w:tc>
        <w:tc>
          <w:tcPr>
            <w:tcW w:w="1275" w:type="dxa"/>
          </w:tcPr>
          <w:p w:rsidR="0098414A" w:rsidRPr="006529C7" w:rsidRDefault="0098414A" w:rsidP="0052314F">
            <w:r w:rsidRPr="006529C7">
              <w:rPr>
                <w:i/>
              </w:rPr>
              <w:t>Kjønns-balanse i LDO:</w:t>
            </w:r>
          </w:p>
          <w:p w:rsidR="0098414A" w:rsidRPr="006529C7" w:rsidRDefault="0098414A" w:rsidP="0052314F">
            <w:r w:rsidRPr="006529C7">
              <w:t>K: 68 %</w:t>
            </w:r>
          </w:p>
          <w:p w:rsidR="0098414A" w:rsidRPr="006529C7" w:rsidRDefault="0098414A" w:rsidP="0052314F">
            <w:r w:rsidRPr="006529C7">
              <w:t>M: 32 %</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Drift og utvikling</w:t>
            </w:r>
          </w:p>
        </w:tc>
        <w:tc>
          <w:tcPr>
            <w:tcW w:w="1407" w:type="dxa"/>
          </w:tcPr>
          <w:p w:rsidR="0098414A" w:rsidRPr="007C5C9F" w:rsidRDefault="0098414A" w:rsidP="0052314F">
            <w:pPr>
              <w:rPr>
                <w:lang w:val="nn-NO"/>
              </w:rPr>
            </w:pPr>
            <w:r>
              <w:rPr>
                <w:lang w:val="nn-NO"/>
              </w:rPr>
              <w:t xml:space="preserve">Forbetring frå 2015 – andelen menn 3 prosent-poeng større.  </w:t>
            </w:r>
          </w:p>
        </w:tc>
      </w:tr>
      <w:tr w:rsidR="0098414A" w:rsidRPr="00BE0620" w:rsidTr="0052314F">
        <w:tc>
          <w:tcPr>
            <w:tcW w:w="1668" w:type="dxa"/>
          </w:tcPr>
          <w:p w:rsidR="0098414A" w:rsidRPr="007C5C9F" w:rsidRDefault="0098414A" w:rsidP="0052314F">
            <w:pPr>
              <w:rPr>
                <w:lang w:val="nn-NO"/>
              </w:rPr>
            </w:pPr>
            <w:r w:rsidRPr="007C5C9F">
              <w:rPr>
                <w:lang w:val="nn-NO"/>
              </w:rPr>
              <w:t>Minst 40 % av leiarane skal vere menn</w:t>
            </w:r>
          </w:p>
        </w:tc>
        <w:tc>
          <w:tcPr>
            <w:tcW w:w="1417" w:type="dxa"/>
          </w:tcPr>
          <w:p w:rsidR="0098414A" w:rsidRPr="00C8147E" w:rsidRDefault="0098414A" w:rsidP="0052314F">
            <w:pPr>
              <w:rPr>
                <w:lang w:val="nn-NO"/>
              </w:rPr>
            </w:pPr>
            <w:r w:rsidRPr="00C8147E">
              <w:rPr>
                <w:lang w:val="nn-NO"/>
              </w:rPr>
              <w:t>Som over</w:t>
            </w:r>
          </w:p>
        </w:tc>
        <w:tc>
          <w:tcPr>
            <w:tcW w:w="1418" w:type="dxa"/>
          </w:tcPr>
          <w:p w:rsidR="0098414A" w:rsidRPr="00C8147E" w:rsidRDefault="0098414A" w:rsidP="0052314F">
            <w:pPr>
              <w:rPr>
                <w:lang w:val="nn-NO"/>
              </w:rPr>
            </w:pPr>
            <w:r w:rsidRPr="00C8147E">
              <w:rPr>
                <w:lang w:val="nn-NO"/>
              </w:rPr>
              <w:t>Mål for statleg sektor</w:t>
            </w:r>
          </w:p>
        </w:tc>
        <w:tc>
          <w:tcPr>
            <w:tcW w:w="1275" w:type="dxa"/>
          </w:tcPr>
          <w:p w:rsidR="0098414A" w:rsidRPr="007C5C9F" w:rsidRDefault="0098414A" w:rsidP="0052314F">
            <w:pPr>
              <w:rPr>
                <w:lang w:val="nn-NO"/>
              </w:rPr>
            </w:pPr>
            <w:r w:rsidRPr="007C5C9F">
              <w:rPr>
                <w:lang w:val="nn-NO"/>
              </w:rPr>
              <w:t>Kjønns-</w:t>
            </w:r>
          </w:p>
          <w:p w:rsidR="0098414A" w:rsidRPr="007C5C9F" w:rsidRDefault="0098414A" w:rsidP="0052314F">
            <w:pPr>
              <w:rPr>
                <w:lang w:val="nn-NO"/>
              </w:rPr>
            </w:pPr>
            <w:r w:rsidRPr="007C5C9F">
              <w:rPr>
                <w:lang w:val="nn-NO"/>
              </w:rPr>
              <w:t xml:space="preserve">balanse i leiargruppa: </w:t>
            </w:r>
          </w:p>
          <w:p w:rsidR="0098414A" w:rsidRPr="007C5C9F" w:rsidRDefault="0098414A" w:rsidP="0052314F">
            <w:pPr>
              <w:rPr>
                <w:lang w:val="nn-NO"/>
              </w:rPr>
            </w:pPr>
            <w:r w:rsidRPr="007C5C9F">
              <w:rPr>
                <w:lang w:val="nn-NO"/>
              </w:rPr>
              <w:t xml:space="preserve">K: </w:t>
            </w:r>
            <w:r>
              <w:rPr>
                <w:lang w:val="nn-NO"/>
              </w:rPr>
              <w:t>60</w:t>
            </w:r>
            <w:r w:rsidRPr="007C5C9F">
              <w:rPr>
                <w:lang w:val="nn-NO"/>
              </w:rPr>
              <w:t xml:space="preserve"> %</w:t>
            </w:r>
          </w:p>
          <w:p w:rsidR="0098414A" w:rsidRPr="007C5C9F" w:rsidRDefault="0098414A" w:rsidP="0052314F">
            <w:r w:rsidRPr="00C8147E">
              <w:rPr>
                <w:lang w:val="nn-NO"/>
              </w:rPr>
              <w:t xml:space="preserve">M: </w:t>
            </w:r>
            <w:r>
              <w:rPr>
                <w:lang w:val="nn-NO"/>
              </w:rPr>
              <w:t>4</w:t>
            </w:r>
            <w:r w:rsidRPr="007C5C9F">
              <w:t>0 %</w:t>
            </w:r>
          </w:p>
        </w:tc>
        <w:tc>
          <w:tcPr>
            <w:tcW w:w="1418" w:type="dxa"/>
          </w:tcPr>
          <w:p w:rsidR="0098414A" w:rsidRPr="007C5C9F" w:rsidRDefault="0098414A" w:rsidP="0052314F">
            <w:pPr>
              <w:rPr>
                <w:lang w:val="nn-NO"/>
              </w:rPr>
            </w:pPr>
            <w:r>
              <w:rPr>
                <w:lang w:val="nn-NO"/>
              </w:rPr>
              <w:t xml:space="preserve">To nye i leiargruppa, ei kvinne og ein mann. </w:t>
            </w:r>
          </w:p>
        </w:tc>
        <w:tc>
          <w:tcPr>
            <w:tcW w:w="1276" w:type="dxa"/>
          </w:tcPr>
          <w:p w:rsidR="0098414A" w:rsidRPr="00823DDF" w:rsidRDefault="0098414A" w:rsidP="0052314F">
            <w:pPr>
              <w:rPr>
                <w:lang w:val="nn-NO"/>
              </w:rPr>
            </w:pPr>
            <w:r w:rsidRPr="00823DDF">
              <w:rPr>
                <w:lang w:val="nn-NO"/>
              </w:rPr>
              <w:t>Ombodet</w:t>
            </w:r>
          </w:p>
          <w:p w:rsidR="0098414A" w:rsidRPr="00823DDF" w:rsidRDefault="0098414A" w:rsidP="0052314F">
            <w:pPr>
              <w:rPr>
                <w:lang w:val="nn-NO"/>
              </w:rPr>
            </w:pPr>
          </w:p>
        </w:tc>
        <w:tc>
          <w:tcPr>
            <w:tcW w:w="1407" w:type="dxa"/>
          </w:tcPr>
          <w:p w:rsidR="0098414A" w:rsidRPr="00823DDF" w:rsidRDefault="0098414A" w:rsidP="0052314F">
            <w:pPr>
              <w:rPr>
                <w:lang w:val="nn-NO"/>
              </w:rPr>
            </w:pPr>
            <w:r>
              <w:rPr>
                <w:lang w:val="nn-NO"/>
              </w:rPr>
              <w:t>Andel menn er no 40 % som er ei auka frå 20 % i 2015.</w:t>
            </w:r>
          </w:p>
          <w:p w:rsidR="0098414A" w:rsidRPr="00823DDF" w:rsidRDefault="0098414A" w:rsidP="0052314F">
            <w:pPr>
              <w:rPr>
                <w:lang w:val="nn-NO"/>
              </w:rPr>
            </w:pPr>
          </w:p>
        </w:tc>
      </w:tr>
      <w:tr w:rsidR="0098414A" w:rsidRPr="007C5C9F" w:rsidTr="0052314F">
        <w:tc>
          <w:tcPr>
            <w:tcW w:w="1668" w:type="dxa"/>
          </w:tcPr>
          <w:p w:rsidR="0098414A" w:rsidRPr="007C5C9F" w:rsidRDefault="0098414A" w:rsidP="0052314F">
            <w:pPr>
              <w:rPr>
                <w:lang w:val="nn-NO"/>
              </w:rPr>
            </w:pPr>
            <w:r w:rsidRPr="007C5C9F">
              <w:rPr>
                <w:lang w:val="nn-NO"/>
              </w:rPr>
              <w:t>Minst 15 % skal ha innvandrar- eller etnisk minoritets-bakgrunn (jf. SSBs definisjon)</w:t>
            </w:r>
          </w:p>
        </w:tc>
        <w:tc>
          <w:tcPr>
            <w:tcW w:w="1417" w:type="dxa"/>
          </w:tcPr>
          <w:p w:rsidR="0098414A" w:rsidRPr="007C5C9F" w:rsidRDefault="0098414A" w:rsidP="0052314F">
            <w:r w:rsidRPr="007C5C9F">
              <w:t>Som over</w:t>
            </w:r>
          </w:p>
        </w:tc>
        <w:tc>
          <w:tcPr>
            <w:tcW w:w="1418" w:type="dxa"/>
          </w:tcPr>
          <w:p w:rsidR="0098414A" w:rsidRPr="007C5C9F" w:rsidRDefault="0098414A" w:rsidP="0052314F">
            <w:r w:rsidRPr="007C5C9F">
              <w:t>Personal-politikken.</w:t>
            </w:r>
          </w:p>
          <w:p w:rsidR="0098414A" w:rsidRPr="007C5C9F" w:rsidRDefault="0098414A" w:rsidP="0052314F">
            <w:r w:rsidRPr="007C5C9F">
              <w:t>Tilpasnings-</w:t>
            </w:r>
          </w:p>
          <w:p w:rsidR="0098414A" w:rsidRPr="007C5C9F" w:rsidRDefault="0098414A" w:rsidP="0052314F">
            <w:r w:rsidRPr="007C5C9F">
              <w:t>avtala</w:t>
            </w:r>
          </w:p>
        </w:tc>
        <w:tc>
          <w:tcPr>
            <w:tcW w:w="1275" w:type="dxa"/>
          </w:tcPr>
          <w:p w:rsidR="0098414A" w:rsidRPr="007C5C9F" w:rsidRDefault="0098414A" w:rsidP="0052314F">
            <w:r w:rsidRPr="007C5C9F">
              <w:t xml:space="preserve"> </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Drift og utvikling</w:t>
            </w:r>
          </w:p>
        </w:tc>
        <w:tc>
          <w:tcPr>
            <w:tcW w:w="1407" w:type="dxa"/>
          </w:tcPr>
          <w:p w:rsidR="0098414A" w:rsidRPr="007C5C9F" w:rsidRDefault="0098414A" w:rsidP="0052314F">
            <w:r w:rsidRPr="007C5C9F">
              <w:t>Ingen kartlegging gjort i 201</w:t>
            </w:r>
            <w:r>
              <w:t>6</w:t>
            </w:r>
          </w:p>
        </w:tc>
      </w:tr>
      <w:tr w:rsidR="0098414A" w:rsidRPr="007C5C9F" w:rsidTr="0052314F">
        <w:tc>
          <w:tcPr>
            <w:tcW w:w="1668" w:type="dxa"/>
          </w:tcPr>
          <w:p w:rsidR="0098414A" w:rsidRPr="007C5C9F" w:rsidRDefault="0098414A" w:rsidP="0052314F">
            <w:r w:rsidRPr="007C5C9F">
              <w:t>Minst 10 % skal ha nedsatt funksjonsevne</w:t>
            </w:r>
          </w:p>
        </w:tc>
        <w:tc>
          <w:tcPr>
            <w:tcW w:w="1417" w:type="dxa"/>
          </w:tcPr>
          <w:p w:rsidR="0098414A" w:rsidRPr="007C5C9F" w:rsidRDefault="0098414A" w:rsidP="0052314F">
            <w:r w:rsidRPr="007C5C9F">
              <w:t xml:space="preserve">Som over </w:t>
            </w:r>
          </w:p>
        </w:tc>
        <w:tc>
          <w:tcPr>
            <w:tcW w:w="1418" w:type="dxa"/>
          </w:tcPr>
          <w:p w:rsidR="0098414A" w:rsidRPr="007C5C9F" w:rsidRDefault="0098414A" w:rsidP="0052314F">
            <w:pPr>
              <w:rPr>
                <w:lang w:val="nn-NO"/>
              </w:rPr>
            </w:pPr>
            <w:r w:rsidRPr="007C5C9F">
              <w:rPr>
                <w:lang w:val="nn-NO"/>
              </w:rPr>
              <w:t>Personal-politikken.</w:t>
            </w:r>
          </w:p>
          <w:p w:rsidR="0098414A" w:rsidRPr="007C5C9F" w:rsidRDefault="0098414A" w:rsidP="0052314F">
            <w:pPr>
              <w:rPr>
                <w:lang w:val="nn-NO"/>
              </w:rPr>
            </w:pPr>
            <w:r w:rsidRPr="007C5C9F">
              <w:rPr>
                <w:lang w:val="nn-NO"/>
              </w:rPr>
              <w:t>Tilpasnings-avtala. IA-avtala – delmål II</w:t>
            </w:r>
          </w:p>
        </w:tc>
        <w:tc>
          <w:tcPr>
            <w:tcW w:w="1275" w:type="dxa"/>
          </w:tcPr>
          <w:p w:rsidR="0098414A" w:rsidRPr="007C5C9F" w:rsidRDefault="0098414A" w:rsidP="0052314F">
            <w:pPr>
              <w:rPr>
                <w:lang w:val="nn-NO"/>
              </w:rPr>
            </w:pP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Drift og utvikling</w:t>
            </w:r>
          </w:p>
        </w:tc>
        <w:tc>
          <w:tcPr>
            <w:tcW w:w="1407" w:type="dxa"/>
          </w:tcPr>
          <w:p w:rsidR="0098414A" w:rsidRDefault="0098414A" w:rsidP="0052314F">
            <w:r w:rsidRPr="007C5C9F">
              <w:t>Ingen kartlegging gjort i 201</w:t>
            </w:r>
            <w:r>
              <w:t>6</w:t>
            </w:r>
          </w:p>
          <w:p w:rsidR="0098414A" w:rsidRDefault="0098414A" w:rsidP="0052314F"/>
          <w:p w:rsidR="0098414A" w:rsidRDefault="0098414A" w:rsidP="0052314F"/>
          <w:p w:rsidR="0098414A" w:rsidRDefault="0098414A" w:rsidP="0052314F"/>
          <w:p w:rsidR="0098414A" w:rsidRPr="007C5C9F" w:rsidRDefault="0098414A" w:rsidP="0052314F"/>
        </w:tc>
      </w:tr>
      <w:tr w:rsidR="0098414A" w:rsidRPr="007C5C9F" w:rsidTr="0052314F">
        <w:tc>
          <w:tcPr>
            <w:tcW w:w="9879" w:type="dxa"/>
            <w:gridSpan w:val="7"/>
          </w:tcPr>
          <w:p w:rsidR="0098414A" w:rsidRPr="007C5C9F" w:rsidRDefault="0098414A" w:rsidP="0052314F">
            <w:pPr>
              <w:rPr>
                <w:b/>
              </w:rPr>
            </w:pPr>
            <w:r w:rsidRPr="007C5C9F">
              <w:rPr>
                <w:b/>
              </w:rPr>
              <w:t>Område – likeløn</w:t>
            </w:r>
          </w:p>
        </w:tc>
      </w:tr>
      <w:tr w:rsidR="0098414A" w:rsidRPr="007C5C9F" w:rsidTr="0052314F">
        <w:tc>
          <w:tcPr>
            <w:tcW w:w="1668" w:type="dxa"/>
          </w:tcPr>
          <w:p w:rsidR="0098414A" w:rsidRPr="007C5C9F" w:rsidRDefault="0098414A" w:rsidP="0052314F">
            <w:r w:rsidRPr="007C5C9F">
              <w:t>Mål</w:t>
            </w:r>
          </w:p>
        </w:tc>
        <w:tc>
          <w:tcPr>
            <w:tcW w:w="1417" w:type="dxa"/>
          </w:tcPr>
          <w:p w:rsidR="0098414A" w:rsidRPr="007C5C9F" w:rsidRDefault="0098414A" w:rsidP="0052314F">
            <w:r w:rsidRPr="007C5C9F">
              <w:t>Tiltak</w:t>
            </w:r>
          </w:p>
        </w:tc>
        <w:tc>
          <w:tcPr>
            <w:tcW w:w="1418" w:type="dxa"/>
          </w:tcPr>
          <w:p w:rsidR="0098414A" w:rsidRPr="007C5C9F" w:rsidRDefault="0098414A" w:rsidP="0052314F">
            <w:r w:rsidRPr="007C5C9F">
              <w:t>Forankring</w:t>
            </w:r>
          </w:p>
        </w:tc>
        <w:tc>
          <w:tcPr>
            <w:tcW w:w="1275" w:type="dxa"/>
          </w:tcPr>
          <w:p w:rsidR="0098414A" w:rsidRPr="007C5C9F" w:rsidRDefault="0098414A" w:rsidP="0052314F">
            <w:r w:rsidRPr="007C5C9F">
              <w:t>Status</w:t>
            </w:r>
          </w:p>
        </w:tc>
        <w:tc>
          <w:tcPr>
            <w:tcW w:w="1418" w:type="dxa"/>
          </w:tcPr>
          <w:p w:rsidR="0098414A" w:rsidRPr="007C5C9F" w:rsidRDefault="0098414A" w:rsidP="0052314F">
            <w:r w:rsidRPr="007C5C9F">
              <w:t>Gjennomført</w:t>
            </w:r>
            <w:r w:rsidRPr="007C5C9F">
              <w:br/>
              <w:t>Ja/delvis/nei</w:t>
            </w:r>
          </w:p>
        </w:tc>
        <w:tc>
          <w:tcPr>
            <w:tcW w:w="1276" w:type="dxa"/>
          </w:tcPr>
          <w:p w:rsidR="0098414A" w:rsidRPr="007C5C9F" w:rsidRDefault="0098414A" w:rsidP="0052314F">
            <w:r w:rsidRPr="007C5C9F">
              <w:t>Ansvarleg i LDO</w:t>
            </w:r>
          </w:p>
        </w:tc>
        <w:tc>
          <w:tcPr>
            <w:tcW w:w="1407" w:type="dxa"/>
          </w:tcPr>
          <w:p w:rsidR="0098414A" w:rsidRPr="007C5C9F" w:rsidRDefault="0098414A" w:rsidP="0052314F">
            <w:r w:rsidRPr="007C5C9F">
              <w:t>Resultat per 201</w:t>
            </w:r>
            <w:r>
              <w:t>6</w:t>
            </w:r>
          </w:p>
        </w:tc>
      </w:tr>
      <w:tr w:rsidR="0098414A" w:rsidRPr="000C07A3" w:rsidTr="0052314F">
        <w:tc>
          <w:tcPr>
            <w:tcW w:w="1668" w:type="dxa"/>
          </w:tcPr>
          <w:p w:rsidR="0098414A" w:rsidRPr="007C5C9F" w:rsidRDefault="0098414A" w:rsidP="0052314F">
            <w:r w:rsidRPr="007C5C9F">
              <w:t>Lik løn</w:t>
            </w:r>
            <w:r>
              <w:t>n</w:t>
            </w:r>
            <w:r w:rsidRPr="007C5C9F">
              <w:t xml:space="preserve"> for arbeid av lik verdi</w:t>
            </w:r>
          </w:p>
        </w:tc>
        <w:tc>
          <w:tcPr>
            <w:tcW w:w="1417" w:type="dxa"/>
          </w:tcPr>
          <w:p w:rsidR="0098414A" w:rsidRPr="007C5C9F" w:rsidRDefault="0098414A" w:rsidP="0052314F">
            <w:r w:rsidRPr="007C5C9F">
              <w:t>Diverse løns-statistikk og for-handlingar etter HTA pkt. 2.3.3 og 2.3.4. og 2.3.8.</w:t>
            </w:r>
          </w:p>
        </w:tc>
        <w:tc>
          <w:tcPr>
            <w:tcW w:w="1418" w:type="dxa"/>
          </w:tcPr>
          <w:p w:rsidR="0098414A" w:rsidRPr="007C5C9F" w:rsidRDefault="0098414A" w:rsidP="0052314F">
            <w:r w:rsidRPr="007C5C9F">
              <w:t>Likestillings-loven § 5</w:t>
            </w:r>
          </w:p>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p w:rsidR="0098414A" w:rsidRPr="007C5C9F" w:rsidRDefault="0098414A" w:rsidP="0052314F"/>
        </w:tc>
        <w:tc>
          <w:tcPr>
            <w:tcW w:w="1275" w:type="dxa"/>
          </w:tcPr>
          <w:p w:rsidR="0098414A" w:rsidRPr="007C5C9F" w:rsidRDefault="0098414A" w:rsidP="0052314F">
            <w:r w:rsidRPr="007C5C9F">
              <w:t>Løpande</w:t>
            </w:r>
          </w:p>
        </w:tc>
        <w:tc>
          <w:tcPr>
            <w:tcW w:w="1418" w:type="dxa"/>
          </w:tcPr>
          <w:p w:rsidR="0098414A" w:rsidRPr="007C5C9F" w:rsidRDefault="0098414A" w:rsidP="0052314F">
            <w:r>
              <w:t>Delvis</w:t>
            </w:r>
          </w:p>
        </w:tc>
        <w:tc>
          <w:tcPr>
            <w:tcW w:w="1276" w:type="dxa"/>
          </w:tcPr>
          <w:p w:rsidR="0098414A" w:rsidRPr="007C5C9F" w:rsidRDefault="0098414A" w:rsidP="0052314F">
            <w:r w:rsidRPr="007C5C9F">
              <w:t>Heile LDO</w:t>
            </w:r>
          </w:p>
        </w:tc>
        <w:tc>
          <w:tcPr>
            <w:tcW w:w="1407" w:type="dxa"/>
          </w:tcPr>
          <w:p w:rsidR="0098414A" w:rsidRPr="00296E94" w:rsidRDefault="0098414A" w:rsidP="0052314F">
            <w:r w:rsidRPr="00872777">
              <w:rPr>
                <w:lang w:val="nn-NO"/>
              </w:rPr>
              <w:t xml:space="preserve">På LDO-nivå er menn no litt høgare løna enn kvinner.  </w:t>
            </w:r>
            <w:r>
              <w:t>Det er kun på rådgjevar-nivå at kvinner tener litt meir enn menn.</w:t>
            </w:r>
          </w:p>
          <w:p w:rsidR="0098414A" w:rsidRPr="00296E94" w:rsidRDefault="0098414A" w:rsidP="0052314F"/>
        </w:tc>
      </w:tr>
      <w:tr w:rsidR="0098414A" w:rsidRPr="007C5C9F" w:rsidTr="0052314F">
        <w:tc>
          <w:tcPr>
            <w:tcW w:w="1668" w:type="dxa"/>
          </w:tcPr>
          <w:p w:rsidR="0098414A" w:rsidRPr="007C5C9F" w:rsidRDefault="0098414A" w:rsidP="0052314F">
            <w:r w:rsidRPr="007C5C9F">
              <w:t>Lik gjennomsnitts-løn</w:t>
            </w:r>
            <w:r>
              <w:t>n</w:t>
            </w:r>
            <w:r w:rsidRPr="007C5C9F">
              <w:t xml:space="preserve"> etter kjønn på alle stillings-kategoriar</w:t>
            </w:r>
          </w:p>
        </w:tc>
        <w:tc>
          <w:tcPr>
            <w:tcW w:w="1417" w:type="dxa"/>
          </w:tcPr>
          <w:p w:rsidR="0098414A" w:rsidRPr="007C5C9F" w:rsidRDefault="0098414A" w:rsidP="0052314F">
            <w:r w:rsidRPr="007C5C9F">
              <w:t>Som over</w:t>
            </w:r>
          </w:p>
        </w:tc>
        <w:tc>
          <w:tcPr>
            <w:tcW w:w="1418" w:type="dxa"/>
          </w:tcPr>
          <w:p w:rsidR="0098414A" w:rsidRPr="007C5C9F" w:rsidRDefault="0098414A" w:rsidP="0052314F">
            <w:r w:rsidRPr="007C5C9F">
              <w:t>Lokal løns-politikk, føringar i HTA o.a.</w:t>
            </w:r>
          </w:p>
        </w:tc>
        <w:tc>
          <w:tcPr>
            <w:tcW w:w="1275" w:type="dxa"/>
          </w:tcPr>
          <w:p w:rsidR="0098414A" w:rsidRPr="0019328B" w:rsidRDefault="0098414A" w:rsidP="0052314F">
            <w:r w:rsidRPr="0019328B">
              <w:t>Løpande</w:t>
            </w:r>
          </w:p>
        </w:tc>
        <w:tc>
          <w:tcPr>
            <w:tcW w:w="1418" w:type="dxa"/>
          </w:tcPr>
          <w:p w:rsidR="0098414A" w:rsidRPr="0019328B" w:rsidRDefault="0098414A" w:rsidP="0052314F">
            <w:r>
              <w:t>Delvis</w:t>
            </w:r>
          </w:p>
        </w:tc>
        <w:tc>
          <w:tcPr>
            <w:tcW w:w="1276" w:type="dxa"/>
          </w:tcPr>
          <w:p w:rsidR="0098414A" w:rsidRPr="007C5C9F" w:rsidRDefault="0098414A" w:rsidP="0052314F">
            <w:r w:rsidRPr="007C5C9F">
              <w:t>Heile LDO</w:t>
            </w:r>
          </w:p>
        </w:tc>
        <w:tc>
          <w:tcPr>
            <w:tcW w:w="1407" w:type="dxa"/>
          </w:tcPr>
          <w:p w:rsidR="0098414A" w:rsidRPr="001C5500" w:rsidRDefault="0098414A" w:rsidP="0052314F">
            <w:pPr>
              <w:rPr>
                <w:lang w:val="nn-NO"/>
              </w:rPr>
            </w:pPr>
            <w:r>
              <w:rPr>
                <w:lang w:val="nn-NO"/>
              </w:rPr>
              <w:t>O</w:t>
            </w:r>
            <w:r w:rsidRPr="007C5C9F">
              <w:rPr>
                <w:lang w:val="nn-NO"/>
              </w:rPr>
              <w:t>rdinære 2.</w:t>
            </w:r>
            <w:r>
              <w:rPr>
                <w:lang w:val="nn-NO"/>
              </w:rPr>
              <w:t>5</w:t>
            </w:r>
            <w:r w:rsidRPr="007C5C9F">
              <w:rPr>
                <w:lang w:val="nn-NO"/>
              </w:rPr>
              <w:t>.</w:t>
            </w:r>
            <w:r>
              <w:rPr>
                <w:lang w:val="nn-NO"/>
              </w:rPr>
              <w:t>1-</w:t>
            </w:r>
            <w:r w:rsidRPr="007C5C9F">
              <w:rPr>
                <w:lang w:val="nn-NO"/>
              </w:rPr>
              <w:t xml:space="preserve"> forhand-lingar i 201</w:t>
            </w:r>
            <w:r>
              <w:rPr>
                <w:lang w:val="nn-NO"/>
              </w:rPr>
              <w:t>6:</w:t>
            </w:r>
            <w:r w:rsidRPr="007C5C9F">
              <w:rPr>
                <w:lang w:val="nn-NO"/>
              </w:rPr>
              <w:br/>
            </w:r>
            <w:r w:rsidRPr="001C5500">
              <w:rPr>
                <w:lang w:val="nn-NO"/>
              </w:rPr>
              <w:t>Stillings-opprykk: 3 K,  1 M.</w:t>
            </w:r>
          </w:p>
          <w:p w:rsidR="0098414A" w:rsidRPr="007C5C9F" w:rsidRDefault="0098414A" w:rsidP="0052314F">
            <w:r w:rsidRPr="007C5C9F">
              <w:t xml:space="preserve">Løns-opprykk: </w:t>
            </w:r>
            <w:r>
              <w:t>25</w:t>
            </w:r>
            <w:r w:rsidRPr="007C5C9F">
              <w:t xml:space="preserve"> K og </w:t>
            </w:r>
            <w:r>
              <w:t>12</w:t>
            </w:r>
            <w:r w:rsidRPr="007C5C9F">
              <w:t xml:space="preserve"> M.</w:t>
            </w:r>
          </w:p>
          <w:p w:rsidR="0098414A" w:rsidRPr="007C5C9F" w:rsidRDefault="0098414A" w:rsidP="0052314F"/>
        </w:tc>
      </w:tr>
      <w:tr w:rsidR="0098414A" w:rsidRPr="007C5C9F" w:rsidTr="0052314F">
        <w:tc>
          <w:tcPr>
            <w:tcW w:w="9879" w:type="dxa"/>
            <w:gridSpan w:val="7"/>
          </w:tcPr>
          <w:p w:rsidR="0098414A" w:rsidRPr="007C5C9F" w:rsidRDefault="0098414A" w:rsidP="0052314F">
            <w:pPr>
              <w:rPr>
                <w:b/>
              </w:rPr>
            </w:pPr>
            <w:r w:rsidRPr="007C5C9F">
              <w:rPr>
                <w:b/>
              </w:rPr>
              <w:t>Område – tilrettelegging</w:t>
            </w:r>
          </w:p>
        </w:tc>
      </w:tr>
      <w:tr w:rsidR="0098414A" w:rsidRPr="007C5C9F" w:rsidTr="0052314F">
        <w:tc>
          <w:tcPr>
            <w:tcW w:w="1668" w:type="dxa"/>
          </w:tcPr>
          <w:p w:rsidR="0098414A" w:rsidRPr="007C5C9F" w:rsidRDefault="0098414A" w:rsidP="0052314F">
            <w:r w:rsidRPr="007C5C9F">
              <w:t>Mål</w:t>
            </w:r>
          </w:p>
        </w:tc>
        <w:tc>
          <w:tcPr>
            <w:tcW w:w="1417" w:type="dxa"/>
          </w:tcPr>
          <w:p w:rsidR="0098414A" w:rsidRPr="007C5C9F" w:rsidRDefault="0098414A" w:rsidP="0052314F">
            <w:r w:rsidRPr="007C5C9F">
              <w:t>Tiltak</w:t>
            </w:r>
          </w:p>
        </w:tc>
        <w:tc>
          <w:tcPr>
            <w:tcW w:w="1418" w:type="dxa"/>
          </w:tcPr>
          <w:p w:rsidR="0098414A" w:rsidRPr="007C5C9F" w:rsidRDefault="0098414A" w:rsidP="0052314F">
            <w:r w:rsidRPr="007C5C9F">
              <w:t>Forankring</w:t>
            </w:r>
          </w:p>
        </w:tc>
        <w:tc>
          <w:tcPr>
            <w:tcW w:w="1275" w:type="dxa"/>
          </w:tcPr>
          <w:p w:rsidR="0098414A" w:rsidRPr="007C5C9F" w:rsidRDefault="0098414A" w:rsidP="0052314F">
            <w:r w:rsidRPr="007C5C9F">
              <w:t>Status</w:t>
            </w:r>
          </w:p>
        </w:tc>
        <w:tc>
          <w:tcPr>
            <w:tcW w:w="1418" w:type="dxa"/>
          </w:tcPr>
          <w:p w:rsidR="0098414A" w:rsidRPr="007C5C9F" w:rsidRDefault="0098414A" w:rsidP="0052314F">
            <w:r w:rsidRPr="007C5C9F">
              <w:t>Gjennomført</w:t>
            </w:r>
          </w:p>
          <w:p w:rsidR="0098414A" w:rsidRPr="007C5C9F" w:rsidRDefault="0098414A" w:rsidP="0052314F">
            <w:r w:rsidRPr="007C5C9F">
              <w:t>Ja/delvis/nei</w:t>
            </w:r>
          </w:p>
        </w:tc>
        <w:tc>
          <w:tcPr>
            <w:tcW w:w="1276" w:type="dxa"/>
          </w:tcPr>
          <w:p w:rsidR="0098414A" w:rsidRPr="007C5C9F" w:rsidRDefault="0098414A" w:rsidP="0052314F">
            <w:r w:rsidRPr="007C5C9F">
              <w:t>Ansvarleg i LDO</w:t>
            </w:r>
          </w:p>
        </w:tc>
        <w:tc>
          <w:tcPr>
            <w:tcW w:w="1407" w:type="dxa"/>
          </w:tcPr>
          <w:p w:rsidR="0098414A" w:rsidRPr="007C5C9F" w:rsidRDefault="0098414A" w:rsidP="0052314F">
            <w:r w:rsidRPr="007C5C9F">
              <w:t>Resultat per 201</w:t>
            </w:r>
            <w:r>
              <w:t>6</w:t>
            </w:r>
          </w:p>
        </w:tc>
      </w:tr>
      <w:tr w:rsidR="0098414A" w:rsidRPr="00BE0620" w:rsidTr="0052314F">
        <w:tc>
          <w:tcPr>
            <w:tcW w:w="1668" w:type="dxa"/>
          </w:tcPr>
          <w:p w:rsidR="0098414A" w:rsidRPr="007C5C9F" w:rsidRDefault="0098414A" w:rsidP="0052314F">
            <w:r w:rsidRPr="007C5C9F">
              <w:t>Individuelt ønsket deltid</w:t>
            </w:r>
          </w:p>
        </w:tc>
        <w:tc>
          <w:tcPr>
            <w:tcW w:w="1417" w:type="dxa"/>
          </w:tcPr>
          <w:p w:rsidR="0098414A" w:rsidRPr="007C5C9F" w:rsidRDefault="0098414A" w:rsidP="0052314F">
            <w:pPr>
              <w:rPr>
                <w:lang w:val="nn-NO"/>
              </w:rPr>
            </w:pPr>
            <w:r w:rsidRPr="007C5C9F">
              <w:rPr>
                <w:lang w:val="nn-NO"/>
              </w:rPr>
              <w:t>Deltid skal vere ein moglegheit</w:t>
            </w:r>
          </w:p>
        </w:tc>
        <w:tc>
          <w:tcPr>
            <w:tcW w:w="1418" w:type="dxa"/>
          </w:tcPr>
          <w:p w:rsidR="0098414A" w:rsidRPr="007C5C9F" w:rsidRDefault="0098414A" w:rsidP="0052314F">
            <w:r w:rsidRPr="007C5C9F">
              <w:t>Personal-politikken</w:t>
            </w:r>
          </w:p>
        </w:tc>
        <w:tc>
          <w:tcPr>
            <w:tcW w:w="1275" w:type="dxa"/>
          </w:tcPr>
          <w:p w:rsidR="0098414A" w:rsidRPr="007C5C9F" w:rsidRDefault="0098414A" w:rsidP="0052314F">
            <w:r w:rsidRPr="007C5C9F">
              <w:t>Deltid</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Heile LDO</w:t>
            </w:r>
          </w:p>
        </w:tc>
        <w:tc>
          <w:tcPr>
            <w:tcW w:w="1407" w:type="dxa"/>
          </w:tcPr>
          <w:p w:rsidR="0098414A" w:rsidRPr="007C522D" w:rsidRDefault="0098414A" w:rsidP="0052314F">
            <w:pPr>
              <w:rPr>
                <w:lang w:val="nn-NO"/>
              </w:rPr>
            </w:pPr>
            <w:r w:rsidRPr="007C522D">
              <w:rPr>
                <w:lang w:val="nn-NO"/>
              </w:rPr>
              <w:t xml:space="preserve">Ei kvinne og </w:t>
            </w:r>
            <w:r>
              <w:rPr>
                <w:lang w:val="nn-NO"/>
              </w:rPr>
              <w:t xml:space="preserve">ein </w:t>
            </w:r>
            <w:r w:rsidRPr="007C522D">
              <w:rPr>
                <w:lang w:val="nn-NO"/>
              </w:rPr>
              <w:t>m</w:t>
            </w:r>
            <w:r>
              <w:rPr>
                <w:lang w:val="nn-NO"/>
              </w:rPr>
              <w:t>a</w:t>
            </w:r>
            <w:r w:rsidRPr="007C522D">
              <w:rPr>
                <w:lang w:val="nn-NO"/>
              </w:rPr>
              <w:t>nn arbeida deltid.</w:t>
            </w:r>
          </w:p>
        </w:tc>
      </w:tr>
      <w:tr w:rsidR="0098414A" w:rsidRPr="007C5C9F" w:rsidTr="0052314F">
        <w:tc>
          <w:tcPr>
            <w:tcW w:w="1668" w:type="dxa"/>
          </w:tcPr>
          <w:p w:rsidR="0098414A" w:rsidRPr="007C5C9F" w:rsidRDefault="0098414A" w:rsidP="0052314F">
            <w:r w:rsidRPr="007C5C9F">
              <w:t>Uttak av permisjon</w:t>
            </w:r>
          </w:p>
        </w:tc>
        <w:tc>
          <w:tcPr>
            <w:tcW w:w="1417" w:type="dxa"/>
          </w:tcPr>
          <w:p w:rsidR="0098414A" w:rsidRPr="007C5C9F" w:rsidRDefault="0098414A" w:rsidP="0052314F">
            <w:r w:rsidRPr="007C5C9F">
              <w:t>Foreldre-permisjon, velferds-permisjon, omsorgs-permisjon</w:t>
            </w:r>
          </w:p>
        </w:tc>
        <w:tc>
          <w:tcPr>
            <w:tcW w:w="1418" w:type="dxa"/>
          </w:tcPr>
          <w:p w:rsidR="0098414A" w:rsidRPr="007C5C9F" w:rsidRDefault="0098414A" w:rsidP="0052314F">
            <w:r w:rsidRPr="007C5C9F">
              <w:t>Personal-politikken.</w:t>
            </w:r>
          </w:p>
          <w:p w:rsidR="0098414A" w:rsidRPr="007C5C9F" w:rsidRDefault="0098414A" w:rsidP="0052314F">
            <w:r w:rsidRPr="007C5C9F">
              <w:t>Tilpasnings-</w:t>
            </w:r>
          </w:p>
          <w:p w:rsidR="0098414A" w:rsidRPr="007C5C9F" w:rsidRDefault="0098414A" w:rsidP="0052314F">
            <w:r w:rsidRPr="007C5C9F">
              <w:t>avtala</w:t>
            </w:r>
          </w:p>
          <w:p w:rsidR="0098414A" w:rsidRPr="007C5C9F" w:rsidRDefault="0098414A" w:rsidP="0052314F"/>
        </w:tc>
        <w:tc>
          <w:tcPr>
            <w:tcW w:w="1275" w:type="dxa"/>
          </w:tcPr>
          <w:p w:rsidR="0098414A" w:rsidRPr="007C5C9F" w:rsidRDefault="0098414A" w:rsidP="0052314F">
            <w:r w:rsidRPr="007C5C9F">
              <w:t>Uttak permisjon</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Heile LDO</w:t>
            </w:r>
          </w:p>
        </w:tc>
        <w:tc>
          <w:tcPr>
            <w:tcW w:w="1407" w:type="dxa"/>
          </w:tcPr>
          <w:p w:rsidR="0098414A" w:rsidRPr="007C5C9F" w:rsidRDefault="0098414A" w:rsidP="0052314F">
            <w:r w:rsidRPr="007C5C9F">
              <w:t>Pappaperm i tilknytning til fødsel,  fødsels- og omsorgs-perm, velferds-permisjon.</w:t>
            </w:r>
          </w:p>
          <w:p w:rsidR="0098414A" w:rsidRPr="007C5C9F" w:rsidRDefault="0098414A" w:rsidP="0052314F">
            <w:r>
              <w:t>4</w:t>
            </w:r>
            <w:r w:rsidRPr="007C5C9F">
              <w:t xml:space="preserve"> K og </w:t>
            </w:r>
            <w:r>
              <w:t>2</w:t>
            </w:r>
            <w:r w:rsidRPr="007C5C9F">
              <w:t xml:space="preserve"> M i foreldre-permisjon i 201</w:t>
            </w:r>
            <w:r>
              <w:t>6</w:t>
            </w:r>
            <w:r w:rsidRPr="007C5C9F">
              <w:t xml:space="preserve">. </w:t>
            </w:r>
          </w:p>
        </w:tc>
      </w:tr>
      <w:tr w:rsidR="0098414A" w:rsidRPr="007C5C9F" w:rsidTr="0052314F">
        <w:tc>
          <w:tcPr>
            <w:tcW w:w="1668" w:type="dxa"/>
          </w:tcPr>
          <w:p w:rsidR="0098414A" w:rsidRPr="007C5C9F" w:rsidRDefault="0098414A" w:rsidP="0052314F">
            <w:r w:rsidRPr="007C5C9F">
              <w:t>Individuelt tilretteleggings-opplegg</w:t>
            </w:r>
          </w:p>
        </w:tc>
        <w:tc>
          <w:tcPr>
            <w:tcW w:w="1417" w:type="dxa"/>
          </w:tcPr>
          <w:p w:rsidR="0098414A" w:rsidRPr="007C5C9F" w:rsidRDefault="0098414A" w:rsidP="0052314F">
            <w:r w:rsidRPr="007C5C9F">
              <w:t>Etablert intern ordning</w:t>
            </w:r>
          </w:p>
        </w:tc>
        <w:tc>
          <w:tcPr>
            <w:tcW w:w="1418" w:type="dxa"/>
          </w:tcPr>
          <w:p w:rsidR="0098414A" w:rsidRPr="007C5C9F" w:rsidRDefault="0098414A" w:rsidP="0052314F">
            <w:r w:rsidRPr="007C5C9F">
              <w:t>Avtalt i IDF og AMU 30.12.2010.</w:t>
            </w:r>
          </w:p>
        </w:tc>
        <w:tc>
          <w:tcPr>
            <w:tcW w:w="1275" w:type="dxa"/>
          </w:tcPr>
          <w:p w:rsidR="0098414A" w:rsidRPr="007C5C9F" w:rsidRDefault="0098414A" w:rsidP="0052314F">
            <w:r w:rsidRPr="007C5C9F">
              <w:t>Individuell tilrette-legging</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Heile LDO</w:t>
            </w:r>
          </w:p>
        </w:tc>
        <w:tc>
          <w:tcPr>
            <w:tcW w:w="1407" w:type="dxa"/>
          </w:tcPr>
          <w:p w:rsidR="0098414A" w:rsidRPr="007C5C9F" w:rsidRDefault="0098414A" w:rsidP="0052314F">
            <w:r>
              <w:t>Tilrettelagt for med-</w:t>
            </w:r>
          </w:p>
          <w:p w:rsidR="0098414A" w:rsidRPr="007C5C9F" w:rsidRDefault="0098414A" w:rsidP="0052314F">
            <w:r w:rsidRPr="007C5C9F">
              <w:t>arbeidarar med individuelle behov</w:t>
            </w:r>
          </w:p>
        </w:tc>
      </w:tr>
      <w:tr w:rsidR="0098414A" w:rsidRPr="00BB66A2" w:rsidTr="0052314F">
        <w:tc>
          <w:tcPr>
            <w:tcW w:w="1668" w:type="dxa"/>
          </w:tcPr>
          <w:p w:rsidR="0098414A" w:rsidRPr="007C5C9F" w:rsidRDefault="0098414A" w:rsidP="0052314F"/>
        </w:tc>
        <w:tc>
          <w:tcPr>
            <w:tcW w:w="1417" w:type="dxa"/>
          </w:tcPr>
          <w:p w:rsidR="0098414A" w:rsidRPr="007C5C9F" w:rsidRDefault="0098414A" w:rsidP="0052314F">
            <w:r w:rsidRPr="007C5C9F">
              <w:t>Tilrette-leggings-samtale ved oppstart i stillinga og seinare i arbeids-forholdet.</w:t>
            </w:r>
          </w:p>
          <w:p w:rsidR="0098414A" w:rsidRPr="007C5C9F" w:rsidRDefault="0098414A" w:rsidP="0052314F"/>
          <w:p w:rsidR="0098414A" w:rsidRPr="007C5C9F" w:rsidRDefault="0098414A" w:rsidP="0052314F"/>
          <w:p w:rsidR="0098414A" w:rsidRPr="007C5C9F" w:rsidRDefault="0098414A" w:rsidP="0052314F"/>
        </w:tc>
        <w:tc>
          <w:tcPr>
            <w:tcW w:w="1418" w:type="dxa"/>
          </w:tcPr>
          <w:p w:rsidR="0098414A" w:rsidRPr="007C5C9F" w:rsidRDefault="0098414A" w:rsidP="0052314F"/>
        </w:tc>
        <w:tc>
          <w:tcPr>
            <w:tcW w:w="1275" w:type="dxa"/>
          </w:tcPr>
          <w:p w:rsidR="0098414A" w:rsidRPr="007C5C9F" w:rsidRDefault="0098414A" w:rsidP="0052314F"/>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Heile LDO</w:t>
            </w:r>
          </w:p>
        </w:tc>
        <w:tc>
          <w:tcPr>
            <w:tcW w:w="1407" w:type="dxa"/>
          </w:tcPr>
          <w:p w:rsidR="0098414A" w:rsidRPr="007C5C9F" w:rsidRDefault="0098414A" w:rsidP="0052314F">
            <w:pPr>
              <w:rPr>
                <w:lang w:val="nn-NO"/>
              </w:rPr>
            </w:pPr>
            <w:r w:rsidRPr="007C5C9F">
              <w:rPr>
                <w:lang w:val="nn-NO"/>
              </w:rPr>
              <w:t>Gjennomført samtalar også etter ønske frå medarbeidarar</w:t>
            </w:r>
          </w:p>
          <w:p w:rsidR="0098414A" w:rsidRPr="007C5C9F" w:rsidRDefault="0098414A" w:rsidP="0052314F">
            <w:pPr>
              <w:rPr>
                <w:lang w:val="nn-NO"/>
              </w:rPr>
            </w:pPr>
          </w:p>
          <w:p w:rsidR="0098414A" w:rsidRPr="007C5C9F" w:rsidRDefault="0098414A" w:rsidP="0052314F">
            <w:pPr>
              <w:rPr>
                <w:lang w:val="nn-NO"/>
              </w:rPr>
            </w:pPr>
          </w:p>
        </w:tc>
      </w:tr>
      <w:tr w:rsidR="0098414A" w:rsidRPr="007C5C9F" w:rsidTr="0052314F">
        <w:tc>
          <w:tcPr>
            <w:tcW w:w="9879" w:type="dxa"/>
            <w:gridSpan w:val="7"/>
          </w:tcPr>
          <w:p w:rsidR="0098414A" w:rsidRPr="007C5C9F" w:rsidRDefault="0098414A" w:rsidP="0052314F">
            <w:pPr>
              <w:rPr>
                <w:b/>
              </w:rPr>
            </w:pPr>
            <w:r w:rsidRPr="007C5C9F">
              <w:rPr>
                <w:b/>
              </w:rPr>
              <w:t>Område – seniorpolitikk</w:t>
            </w:r>
          </w:p>
        </w:tc>
      </w:tr>
      <w:tr w:rsidR="0098414A" w:rsidRPr="007C5C9F" w:rsidTr="0052314F">
        <w:tc>
          <w:tcPr>
            <w:tcW w:w="1668" w:type="dxa"/>
          </w:tcPr>
          <w:p w:rsidR="0098414A" w:rsidRPr="007C5C9F" w:rsidRDefault="0098414A" w:rsidP="0052314F">
            <w:r w:rsidRPr="007C5C9F">
              <w:t>Mål</w:t>
            </w:r>
          </w:p>
        </w:tc>
        <w:tc>
          <w:tcPr>
            <w:tcW w:w="1417" w:type="dxa"/>
          </w:tcPr>
          <w:p w:rsidR="0098414A" w:rsidRPr="007C5C9F" w:rsidRDefault="0098414A" w:rsidP="0052314F">
            <w:r w:rsidRPr="007C5C9F">
              <w:t>Tiltak</w:t>
            </w:r>
          </w:p>
        </w:tc>
        <w:tc>
          <w:tcPr>
            <w:tcW w:w="1418" w:type="dxa"/>
          </w:tcPr>
          <w:p w:rsidR="0098414A" w:rsidRPr="007C5C9F" w:rsidRDefault="0098414A" w:rsidP="0052314F">
            <w:r w:rsidRPr="007C5C9F">
              <w:t>Forankring</w:t>
            </w:r>
          </w:p>
        </w:tc>
        <w:tc>
          <w:tcPr>
            <w:tcW w:w="1275" w:type="dxa"/>
          </w:tcPr>
          <w:p w:rsidR="0098414A" w:rsidRPr="007C5C9F" w:rsidRDefault="0098414A" w:rsidP="0052314F">
            <w:r w:rsidRPr="007C5C9F">
              <w:t>Status</w:t>
            </w:r>
          </w:p>
        </w:tc>
        <w:tc>
          <w:tcPr>
            <w:tcW w:w="1418" w:type="dxa"/>
          </w:tcPr>
          <w:p w:rsidR="0098414A" w:rsidRPr="007C5C9F" w:rsidRDefault="0098414A" w:rsidP="0052314F">
            <w:r w:rsidRPr="007C5C9F">
              <w:t>Gjennomført</w:t>
            </w:r>
          </w:p>
          <w:p w:rsidR="0098414A" w:rsidRPr="007C5C9F" w:rsidRDefault="0098414A" w:rsidP="0052314F">
            <w:r w:rsidRPr="007C5C9F">
              <w:t>Ja/delvis/nei</w:t>
            </w:r>
          </w:p>
        </w:tc>
        <w:tc>
          <w:tcPr>
            <w:tcW w:w="1276" w:type="dxa"/>
          </w:tcPr>
          <w:p w:rsidR="0098414A" w:rsidRPr="007C5C9F" w:rsidRDefault="0098414A" w:rsidP="0052314F">
            <w:r w:rsidRPr="007C5C9F">
              <w:t>Ansvarleg i LDO</w:t>
            </w:r>
          </w:p>
        </w:tc>
        <w:tc>
          <w:tcPr>
            <w:tcW w:w="1407" w:type="dxa"/>
          </w:tcPr>
          <w:p w:rsidR="0098414A" w:rsidRPr="007C5C9F" w:rsidRDefault="0098414A" w:rsidP="0052314F">
            <w:r w:rsidRPr="007C5C9F">
              <w:t>Resultat per 201</w:t>
            </w:r>
            <w:r>
              <w:t>6</w:t>
            </w:r>
          </w:p>
        </w:tc>
      </w:tr>
      <w:tr w:rsidR="0098414A" w:rsidRPr="00BB66A2" w:rsidTr="0052314F">
        <w:tc>
          <w:tcPr>
            <w:tcW w:w="1668" w:type="dxa"/>
          </w:tcPr>
          <w:p w:rsidR="0098414A" w:rsidRPr="007C5C9F" w:rsidRDefault="0098414A" w:rsidP="0052314F">
            <w:r w:rsidRPr="007C5C9F">
              <w:t>Tilsette i senior-sjiktet (55+) tilbys karriere- og kompe-tanseutvikling på lik linje med yngre medarbeidarar</w:t>
            </w:r>
          </w:p>
        </w:tc>
        <w:tc>
          <w:tcPr>
            <w:tcW w:w="1417" w:type="dxa"/>
          </w:tcPr>
          <w:p w:rsidR="0098414A" w:rsidRPr="007C5C9F" w:rsidRDefault="0098414A" w:rsidP="0052314F">
            <w:pPr>
              <w:rPr>
                <w:lang w:val="nn-NO"/>
              </w:rPr>
            </w:pPr>
            <w:r w:rsidRPr="007C5C9F">
              <w:rPr>
                <w:lang w:val="nn-NO"/>
              </w:rPr>
              <w:t xml:space="preserve">Senior-perspektivet er ein integrert del av medarbeidarsamtalane. I tillegg får alle tilsette i LDO ein oppfølgings- og utviklings-plan. </w:t>
            </w:r>
          </w:p>
          <w:p w:rsidR="0098414A" w:rsidRPr="007C5C9F" w:rsidRDefault="0098414A" w:rsidP="0052314F">
            <w:r w:rsidRPr="007C5C9F">
              <w:t>Lø</w:t>
            </w:r>
            <w:r>
              <w:t>n</w:t>
            </w:r>
            <w:r w:rsidRPr="007C5C9F">
              <w:t xml:space="preserve">nsfor-handlingar. </w:t>
            </w:r>
          </w:p>
          <w:p w:rsidR="0098414A" w:rsidRPr="007C5C9F" w:rsidRDefault="0098414A" w:rsidP="0052314F"/>
        </w:tc>
        <w:tc>
          <w:tcPr>
            <w:tcW w:w="1418" w:type="dxa"/>
          </w:tcPr>
          <w:p w:rsidR="0098414A" w:rsidRPr="007C5C9F" w:rsidRDefault="0098414A" w:rsidP="0052314F">
            <w:r w:rsidRPr="007C5C9F">
              <w:t>Tilpasnings-avtala</w:t>
            </w:r>
          </w:p>
        </w:tc>
        <w:tc>
          <w:tcPr>
            <w:tcW w:w="1275" w:type="dxa"/>
          </w:tcPr>
          <w:p w:rsidR="0098414A" w:rsidRPr="00C73FE5" w:rsidRDefault="0098414A" w:rsidP="0052314F">
            <w:pPr>
              <w:rPr>
                <w:lang w:val="nn-NO"/>
              </w:rPr>
            </w:pPr>
            <w:r w:rsidRPr="00C73FE5">
              <w:rPr>
                <w:lang w:val="nn-NO"/>
              </w:rPr>
              <w:t>Seniorar utgjer 17,5 % av LDOs tilsette.</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Heile LDO</w:t>
            </w:r>
          </w:p>
        </w:tc>
        <w:tc>
          <w:tcPr>
            <w:tcW w:w="1407" w:type="dxa"/>
          </w:tcPr>
          <w:p w:rsidR="0098414A" w:rsidRPr="007C5C9F" w:rsidRDefault="0098414A" w:rsidP="0052314F">
            <w:pPr>
              <w:rPr>
                <w:lang w:val="nn-NO"/>
              </w:rPr>
            </w:pPr>
            <w:r>
              <w:rPr>
                <w:lang w:val="nn-NO"/>
              </w:rPr>
              <w:t xml:space="preserve">Fast tema i </w:t>
            </w:r>
            <w:r w:rsidRPr="007C5C9F">
              <w:rPr>
                <w:lang w:val="nn-NO"/>
              </w:rPr>
              <w:t>medarbeid</w:t>
            </w:r>
            <w:r>
              <w:rPr>
                <w:lang w:val="nn-NO"/>
              </w:rPr>
              <w:t>-</w:t>
            </w:r>
            <w:r w:rsidRPr="007C5C9F">
              <w:rPr>
                <w:lang w:val="nn-NO"/>
              </w:rPr>
              <w:t xml:space="preserve">arsamtalar. </w:t>
            </w:r>
          </w:p>
        </w:tc>
      </w:tr>
      <w:tr w:rsidR="0098414A" w:rsidRPr="00BB66A2" w:rsidTr="0052314F">
        <w:tc>
          <w:tcPr>
            <w:tcW w:w="1668" w:type="dxa"/>
          </w:tcPr>
          <w:p w:rsidR="0098414A" w:rsidRPr="007C5C9F" w:rsidRDefault="0098414A" w:rsidP="0052314F">
            <w:pPr>
              <w:rPr>
                <w:lang w:val="nn-NO"/>
              </w:rPr>
            </w:pPr>
          </w:p>
        </w:tc>
        <w:tc>
          <w:tcPr>
            <w:tcW w:w="1417" w:type="dxa"/>
          </w:tcPr>
          <w:p w:rsidR="0098414A" w:rsidRPr="007C5C9F" w:rsidRDefault="0098414A" w:rsidP="0052314F">
            <w:pPr>
              <w:rPr>
                <w:lang w:val="nn-NO"/>
              </w:rPr>
            </w:pPr>
          </w:p>
        </w:tc>
        <w:tc>
          <w:tcPr>
            <w:tcW w:w="1418" w:type="dxa"/>
          </w:tcPr>
          <w:p w:rsidR="0098414A" w:rsidRPr="007C5C9F" w:rsidRDefault="0098414A" w:rsidP="0052314F">
            <w:pPr>
              <w:rPr>
                <w:lang w:val="nn-NO"/>
              </w:rPr>
            </w:pPr>
          </w:p>
        </w:tc>
        <w:tc>
          <w:tcPr>
            <w:tcW w:w="1275" w:type="dxa"/>
          </w:tcPr>
          <w:p w:rsidR="0098414A" w:rsidRPr="007C5C9F" w:rsidRDefault="0098414A" w:rsidP="0052314F">
            <w:pPr>
              <w:rPr>
                <w:lang w:val="nn-NO"/>
              </w:rPr>
            </w:pPr>
          </w:p>
        </w:tc>
        <w:tc>
          <w:tcPr>
            <w:tcW w:w="1418" w:type="dxa"/>
          </w:tcPr>
          <w:p w:rsidR="0098414A" w:rsidRPr="007C5C9F" w:rsidRDefault="0098414A" w:rsidP="0052314F">
            <w:pPr>
              <w:rPr>
                <w:lang w:val="nn-NO"/>
              </w:rPr>
            </w:pPr>
          </w:p>
        </w:tc>
        <w:tc>
          <w:tcPr>
            <w:tcW w:w="1276" w:type="dxa"/>
          </w:tcPr>
          <w:p w:rsidR="0098414A" w:rsidRPr="007C5C9F" w:rsidRDefault="0098414A" w:rsidP="0052314F">
            <w:pPr>
              <w:rPr>
                <w:lang w:val="nn-NO"/>
              </w:rPr>
            </w:pPr>
          </w:p>
        </w:tc>
        <w:tc>
          <w:tcPr>
            <w:tcW w:w="1407" w:type="dxa"/>
          </w:tcPr>
          <w:p w:rsidR="0098414A" w:rsidRPr="007C5C9F" w:rsidRDefault="0098414A" w:rsidP="0052314F">
            <w:pPr>
              <w:rPr>
                <w:lang w:val="nn-NO"/>
              </w:rPr>
            </w:pPr>
          </w:p>
        </w:tc>
      </w:tr>
      <w:tr w:rsidR="0098414A" w:rsidRPr="007C5C9F" w:rsidTr="0052314F">
        <w:tc>
          <w:tcPr>
            <w:tcW w:w="9879" w:type="dxa"/>
            <w:gridSpan w:val="7"/>
          </w:tcPr>
          <w:p w:rsidR="0098414A" w:rsidRPr="007C5C9F" w:rsidRDefault="0098414A" w:rsidP="0052314F">
            <w:pPr>
              <w:rPr>
                <w:b/>
              </w:rPr>
            </w:pPr>
            <w:r w:rsidRPr="007C5C9F">
              <w:rPr>
                <w:b/>
              </w:rPr>
              <w:t>Område – Trakassering</w:t>
            </w:r>
          </w:p>
        </w:tc>
      </w:tr>
      <w:tr w:rsidR="0098414A" w:rsidRPr="007C5C9F" w:rsidTr="0052314F">
        <w:tc>
          <w:tcPr>
            <w:tcW w:w="1668" w:type="dxa"/>
          </w:tcPr>
          <w:p w:rsidR="0098414A" w:rsidRPr="007C5C9F" w:rsidRDefault="0098414A" w:rsidP="0052314F">
            <w:r w:rsidRPr="007C5C9F">
              <w:t>Mål</w:t>
            </w:r>
          </w:p>
        </w:tc>
        <w:tc>
          <w:tcPr>
            <w:tcW w:w="1417" w:type="dxa"/>
          </w:tcPr>
          <w:p w:rsidR="0098414A" w:rsidRPr="007C5C9F" w:rsidRDefault="0098414A" w:rsidP="0052314F">
            <w:r w:rsidRPr="007C5C9F">
              <w:t>Tiltak</w:t>
            </w:r>
          </w:p>
        </w:tc>
        <w:tc>
          <w:tcPr>
            <w:tcW w:w="1418" w:type="dxa"/>
          </w:tcPr>
          <w:p w:rsidR="0098414A" w:rsidRPr="007C5C9F" w:rsidRDefault="0098414A" w:rsidP="0052314F">
            <w:r w:rsidRPr="007C5C9F">
              <w:t>Forankring</w:t>
            </w:r>
          </w:p>
        </w:tc>
        <w:tc>
          <w:tcPr>
            <w:tcW w:w="1275" w:type="dxa"/>
          </w:tcPr>
          <w:p w:rsidR="0098414A" w:rsidRPr="007C5C9F" w:rsidRDefault="0098414A" w:rsidP="0052314F">
            <w:r w:rsidRPr="007C5C9F">
              <w:t>Status</w:t>
            </w:r>
          </w:p>
        </w:tc>
        <w:tc>
          <w:tcPr>
            <w:tcW w:w="1418" w:type="dxa"/>
          </w:tcPr>
          <w:p w:rsidR="0098414A" w:rsidRPr="007C5C9F" w:rsidRDefault="0098414A" w:rsidP="0052314F">
            <w:r w:rsidRPr="007C5C9F">
              <w:t>Gjennomført</w:t>
            </w:r>
          </w:p>
          <w:p w:rsidR="0098414A" w:rsidRPr="007C5C9F" w:rsidRDefault="0098414A" w:rsidP="0052314F">
            <w:r w:rsidRPr="007C5C9F">
              <w:t>Ja/delvis/nei</w:t>
            </w:r>
          </w:p>
        </w:tc>
        <w:tc>
          <w:tcPr>
            <w:tcW w:w="1276" w:type="dxa"/>
          </w:tcPr>
          <w:p w:rsidR="0098414A" w:rsidRPr="007C5C9F" w:rsidRDefault="0098414A" w:rsidP="0052314F">
            <w:r w:rsidRPr="007C5C9F">
              <w:t>Ansvarleg i LDO</w:t>
            </w:r>
          </w:p>
        </w:tc>
        <w:tc>
          <w:tcPr>
            <w:tcW w:w="1407" w:type="dxa"/>
          </w:tcPr>
          <w:p w:rsidR="0098414A" w:rsidRPr="007C5C9F" w:rsidRDefault="0098414A" w:rsidP="0052314F">
            <w:r w:rsidRPr="007C5C9F">
              <w:t>Resultat per 201</w:t>
            </w:r>
            <w:r>
              <w:t>6</w:t>
            </w:r>
          </w:p>
        </w:tc>
      </w:tr>
      <w:tr w:rsidR="0098414A" w:rsidRPr="007C5C9F" w:rsidTr="0052314F">
        <w:tc>
          <w:tcPr>
            <w:tcW w:w="1668" w:type="dxa"/>
          </w:tcPr>
          <w:p w:rsidR="0098414A" w:rsidRPr="007C5C9F" w:rsidRDefault="0098414A" w:rsidP="0052314F">
            <w:r w:rsidRPr="007C5C9F">
              <w:t>Nulltoleranse for trakassering mobbing og diskriminering</w:t>
            </w:r>
          </w:p>
        </w:tc>
        <w:tc>
          <w:tcPr>
            <w:tcW w:w="1417" w:type="dxa"/>
          </w:tcPr>
          <w:p w:rsidR="0098414A" w:rsidRPr="007C5C9F" w:rsidRDefault="0098414A" w:rsidP="0052314F">
            <w:pPr>
              <w:rPr>
                <w:lang w:val="nn-NO"/>
              </w:rPr>
            </w:pPr>
            <w:r w:rsidRPr="007C5C9F">
              <w:rPr>
                <w:lang w:val="nn-NO"/>
              </w:rPr>
              <w:t xml:space="preserve">Skriftleg intern rutine for varsling. Inngår som ein del av dei systematiske medarbeidarsamtalene. </w:t>
            </w:r>
          </w:p>
        </w:tc>
        <w:tc>
          <w:tcPr>
            <w:tcW w:w="1418" w:type="dxa"/>
          </w:tcPr>
          <w:p w:rsidR="0098414A" w:rsidRPr="007C5C9F" w:rsidRDefault="0098414A" w:rsidP="0052314F">
            <w:r w:rsidRPr="007C5C9F">
              <w:t>AML § 13</w:t>
            </w:r>
          </w:p>
          <w:p w:rsidR="0098414A" w:rsidRPr="007C5C9F" w:rsidRDefault="0098414A" w:rsidP="0052314F">
            <w:r w:rsidRPr="007C5C9F">
              <w:t>Personal-politikken o.a.</w:t>
            </w:r>
          </w:p>
        </w:tc>
        <w:tc>
          <w:tcPr>
            <w:tcW w:w="1275" w:type="dxa"/>
          </w:tcPr>
          <w:p w:rsidR="0098414A" w:rsidRPr="007C5C9F" w:rsidRDefault="0098414A" w:rsidP="0052314F">
            <w:r w:rsidRPr="007C5C9F">
              <w:t>Arbeids-miljø-under-søking sist viste behov for enklare rutine</w:t>
            </w:r>
            <w:r>
              <w:t>r</w:t>
            </w:r>
            <w:r w:rsidRPr="007C5C9F">
              <w:t xml:space="preserve"> og meir kunnskap om varsling. </w:t>
            </w:r>
          </w:p>
        </w:tc>
        <w:tc>
          <w:tcPr>
            <w:tcW w:w="1418" w:type="dxa"/>
          </w:tcPr>
          <w:p w:rsidR="0098414A" w:rsidRPr="007C5C9F" w:rsidRDefault="0098414A" w:rsidP="0052314F">
            <w:r w:rsidRPr="007C5C9F">
              <w:t>Ja</w:t>
            </w:r>
          </w:p>
        </w:tc>
        <w:tc>
          <w:tcPr>
            <w:tcW w:w="1276" w:type="dxa"/>
          </w:tcPr>
          <w:p w:rsidR="0098414A" w:rsidRPr="007C5C9F" w:rsidRDefault="0098414A" w:rsidP="0052314F">
            <w:r w:rsidRPr="007C5C9F">
              <w:t>Drift og utvikling, øvrige avd., ombod, verne-ombud, tillitsvalgte</w:t>
            </w:r>
          </w:p>
        </w:tc>
        <w:tc>
          <w:tcPr>
            <w:tcW w:w="1407" w:type="dxa"/>
          </w:tcPr>
          <w:p w:rsidR="0098414A" w:rsidRPr="007C5C9F" w:rsidRDefault="0098414A" w:rsidP="0052314F">
            <w:r>
              <w:rPr>
                <w:lang w:val="nn-NO"/>
              </w:rPr>
              <w:t xml:space="preserve">Har </w:t>
            </w:r>
            <w:r w:rsidRPr="007C5C9F">
              <w:rPr>
                <w:lang w:val="nn-NO"/>
              </w:rPr>
              <w:t xml:space="preserve">varslings-plakat og rutine for å handtere ei varslingssak. </w:t>
            </w:r>
            <w:r w:rsidRPr="007C5C9F">
              <w:t xml:space="preserve">Økt kunnskap i org. på dette. </w:t>
            </w:r>
          </w:p>
        </w:tc>
      </w:tr>
    </w:tbl>
    <w:p w:rsidR="0098414A" w:rsidRPr="007C5C9F" w:rsidRDefault="0098414A" w:rsidP="0098414A"/>
    <w:p w:rsidR="0098414A" w:rsidRDefault="0098414A" w:rsidP="0098414A">
      <w:pPr>
        <w:rPr>
          <w:b/>
          <w:sz w:val="28"/>
          <w:szCs w:val="28"/>
        </w:rPr>
      </w:pPr>
    </w:p>
    <w:p w:rsidR="0098414A" w:rsidRDefault="0098414A" w:rsidP="0098414A">
      <w:pPr>
        <w:rPr>
          <w:b/>
          <w:sz w:val="28"/>
          <w:szCs w:val="28"/>
        </w:rPr>
      </w:pPr>
    </w:p>
    <w:p w:rsidR="0098414A" w:rsidRDefault="0098414A" w:rsidP="0098414A">
      <w:pPr>
        <w:rPr>
          <w:b/>
          <w:sz w:val="28"/>
          <w:szCs w:val="28"/>
        </w:rPr>
      </w:pPr>
    </w:p>
    <w:p w:rsidR="0098414A"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Pr="007C5C9F" w:rsidRDefault="0098414A" w:rsidP="0098414A">
      <w:pPr>
        <w:rPr>
          <w:b/>
          <w:sz w:val="28"/>
          <w:szCs w:val="28"/>
        </w:rPr>
      </w:pPr>
    </w:p>
    <w:p w:rsidR="0098414A" w:rsidRDefault="0098414A" w:rsidP="0098414A">
      <w:pPr>
        <w:rPr>
          <w:b/>
          <w:sz w:val="28"/>
          <w:szCs w:val="28"/>
        </w:rPr>
      </w:pPr>
      <w:r w:rsidRPr="007C5C9F">
        <w:rPr>
          <w:b/>
          <w:sz w:val="28"/>
          <w:szCs w:val="28"/>
        </w:rPr>
        <w:t>Ledelseskommentar til årsavslutning i LDO for 201</w:t>
      </w:r>
      <w:r>
        <w:rPr>
          <w:b/>
          <w:sz w:val="28"/>
          <w:szCs w:val="28"/>
        </w:rPr>
        <w:t>6</w:t>
      </w:r>
    </w:p>
    <w:p w:rsidR="0098414A" w:rsidRDefault="0098414A" w:rsidP="0098414A">
      <w:pPr>
        <w:rPr>
          <w:lang w:val="nn-NO"/>
        </w:rPr>
      </w:pPr>
      <w:r w:rsidRPr="007C5C9F">
        <w:rPr>
          <w:b/>
        </w:rPr>
        <w:t>Kort om verksemda</w:t>
      </w:r>
      <w:r w:rsidRPr="007C5C9F">
        <w:t xml:space="preserve"> </w:t>
      </w:r>
      <w:r w:rsidRPr="007C5C9F">
        <w:br/>
        <w:t xml:space="preserve">Likestillings- og diskrimineringsombodet (LDO) skal fremme likestilling og kjempe mot diskriminering på grunn av kjønn, etnisitet, religion, funksjonsevne, seksuell orientering, kjønnsidentitet, kjønnsuttrykk og alder. </w:t>
      </w:r>
      <w:r w:rsidRPr="007C5C9F">
        <w:rPr>
          <w:lang w:val="nn-NO"/>
        </w:rPr>
        <w:t>Ombodet handhevar diskrimineringsforboda i lovverket, gir rettleiing og er ein pådrivar for likestilling og mangfald.</w:t>
      </w:r>
    </w:p>
    <w:p w:rsidR="00493B7C" w:rsidRDefault="00493B7C" w:rsidP="0098414A">
      <w:pPr>
        <w:rPr>
          <w:b/>
          <w:lang w:val="nn-NO"/>
        </w:rPr>
      </w:pPr>
    </w:p>
    <w:p w:rsidR="0098414A" w:rsidRDefault="0098414A" w:rsidP="0098414A">
      <w:pPr>
        <w:rPr>
          <w:lang w:val="nn-NO"/>
        </w:rPr>
      </w:pPr>
      <w:r w:rsidRPr="007C5C9F">
        <w:rPr>
          <w:b/>
          <w:lang w:val="nn-NO"/>
        </w:rPr>
        <w:t>Rekn</w:t>
      </w:r>
      <w:r>
        <w:rPr>
          <w:b/>
          <w:lang w:val="nn-NO"/>
        </w:rPr>
        <w:t>e</w:t>
      </w:r>
      <w:r w:rsidRPr="007C5C9F">
        <w:rPr>
          <w:b/>
          <w:lang w:val="nn-NO"/>
        </w:rPr>
        <w:t>skapet er utarbeidd etter reglane i SRS</w:t>
      </w:r>
      <w:r w:rsidRPr="007C5C9F">
        <w:rPr>
          <w:lang w:val="nn-NO"/>
        </w:rPr>
        <w:br/>
        <w:t>Rekn</w:t>
      </w:r>
      <w:r>
        <w:rPr>
          <w:lang w:val="nn-NO"/>
        </w:rPr>
        <w:t>e</w:t>
      </w:r>
      <w:r w:rsidRPr="007C5C9F">
        <w:rPr>
          <w:lang w:val="nn-NO"/>
        </w:rPr>
        <w:t>skapet er utarbeidd etter reglane i dei anbefalte statlege re</w:t>
      </w:r>
      <w:r>
        <w:rPr>
          <w:lang w:val="nn-NO"/>
        </w:rPr>
        <w:t>k</w:t>
      </w:r>
      <w:r w:rsidRPr="007C5C9F">
        <w:rPr>
          <w:lang w:val="nn-NO"/>
        </w:rPr>
        <w:t>n</w:t>
      </w:r>
      <w:r>
        <w:rPr>
          <w:lang w:val="nn-NO"/>
        </w:rPr>
        <w:t>e</w:t>
      </w:r>
      <w:r w:rsidRPr="007C5C9F">
        <w:rPr>
          <w:lang w:val="nn-NO"/>
        </w:rPr>
        <w:t>skapsstandardane. LDO bekreftar at rekneskapet gir eit dekkanda bilete av verksemdas disponible løyver, rekneskapsførte utgifter, inntekter, eigendelar og gjeld. Det er Riksrevisjonen som reviderar LDO</w:t>
      </w:r>
      <w:r>
        <w:rPr>
          <w:lang w:val="nn-NO"/>
        </w:rPr>
        <w:t xml:space="preserve"> </w:t>
      </w:r>
      <w:r w:rsidRPr="007C5C9F">
        <w:rPr>
          <w:lang w:val="nn-NO"/>
        </w:rPr>
        <w:t>s</w:t>
      </w:r>
      <w:r>
        <w:rPr>
          <w:lang w:val="nn-NO"/>
        </w:rPr>
        <w:t>itt</w:t>
      </w:r>
      <w:r w:rsidRPr="007C5C9F">
        <w:rPr>
          <w:lang w:val="nn-NO"/>
        </w:rPr>
        <w:t xml:space="preserve"> rekneskap. Revisjonsberetninga vil bli å finne på våre heimesider.</w:t>
      </w:r>
    </w:p>
    <w:p w:rsidR="0098414A" w:rsidRPr="007C5C9F" w:rsidRDefault="0098414A" w:rsidP="0098414A">
      <w:pPr>
        <w:rPr>
          <w:lang w:val="nn-NO"/>
        </w:rPr>
      </w:pPr>
    </w:p>
    <w:p w:rsidR="0098414A" w:rsidRPr="007C5C9F" w:rsidRDefault="0098414A" w:rsidP="0098414A">
      <w:pPr>
        <w:rPr>
          <w:lang w:val="nn-NO"/>
        </w:rPr>
      </w:pPr>
      <w:r w:rsidRPr="007C5C9F">
        <w:rPr>
          <w:b/>
          <w:lang w:val="nn-NO"/>
        </w:rPr>
        <w:t>Kommentarar til vesentlige endringar i resultat- og balansepostar i forhold til tidlegere periodar</w:t>
      </w:r>
      <w:r w:rsidRPr="007C5C9F">
        <w:rPr>
          <w:lang w:val="nn-NO"/>
        </w:rPr>
        <w:br/>
        <w:t>Løyve i 201</w:t>
      </w:r>
      <w:r>
        <w:rPr>
          <w:lang w:val="nn-NO"/>
        </w:rPr>
        <w:t>6</w:t>
      </w:r>
      <w:r w:rsidRPr="007C5C9F">
        <w:rPr>
          <w:lang w:val="nn-NO"/>
        </w:rPr>
        <w:t xml:space="preserve"> var på 5</w:t>
      </w:r>
      <w:r>
        <w:rPr>
          <w:lang w:val="nn-NO"/>
        </w:rPr>
        <w:t>2</w:t>
      </w:r>
      <w:r w:rsidRPr="007C5C9F">
        <w:rPr>
          <w:lang w:val="nn-NO"/>
        </w:rPr>
        <w:t> 8</w:t>
      </w:r>
      <w:r>
        <w:rPr>
          <w:lang w:val="nn-NO"/>
        </w:rPr>
        <w:t>56</w:t>
      </w:r>
      <w:r w:rsidRPr="007C5C9F">
        <w:rPr>
          <w:lang w:val="nn-NO"/>
        </w:rPr>
        <w:t> 000 kroner. Det er ein reduksjon på</w:t>
      </w:r>
      <w:r>
        <w:rPr>
          <w:lang w:val="nn-NO"/>
        </w:rPr>
        <w:t xml:space="preserve"> 1 125</w:t>
      </w:r>
      <w:r w:rsidRPr="007C5C9F">
        <w:rPr>
          <w:lang w:val="nn-NO"/>
        </w:rPr>
        <w:t xml:space="preserve"> 000 </w:t>
      </w:r>
      <w:r>
        <w:rPr>
          <w:lang w:val="nn-NO"/>
        </w:rPr>
        <w:t xml:space="preserve">kroner </w:t>
      </w:r>
      <w:r w:rsidRPr="007C5C9F">
        <w:rPr>
          <w:lang w:val="nn-NO"/>
        </w:rPr>
        <w:t>samanlikna med 201</w:t>
      </w:r>
      <w:r>
        <w:rPr>
          <w:lang w:val="nn-NO"/>
        </w:rPr>
        <w:t>5</w:t>
      </w:r>
      <w:r w:rsidRPr="007C5C9F">
        <w:rPr>
          <w:lang w:val="nn-NO"/>
        </w:rPr>
        <w:t xml:space="preserve">. </w:t>
      </w:r>
      <w:r>
        <w:rPr>
          <w:lang w:val="nn-NO"/>
        </w:rPr>
        <w:t xml:space="preserve">Av desse er 50 432 898 inntektsført, jamfør nye reglar for føring av reknskap etter SRS frå 2016. </w:t>
      </w:r>
    </w:p>
    <w:p w:rsidR="006C4A37" w:rsidRDefault="006C4A37" w:rsidP="0098414A">
      <w:pPr>
        <w:rPr>
          <w:lang w:val="nn-NO"/>
        </w:rPr>
      </w:pPr>
    </w:p>
    <w:p w:rsidR="0098414A" w:rsidRDefault="0098414A" w:rsidP="0098414A">
      <w:pPr>
        <w:rPr>
          <w:lang w:val="nn-NO"/>
        </w:rPr>
      </w:pPr>
      <w:r w:rsidRPr="007C5C9F">
        <w:rPr>
          <w:lang w:val="nn-NO"/>
        </w:rPr>
        <w:t>Vi har ikkje hatt store investeringar i 201</w:t>
      </w:r>
      <w:r>
        <w:rPr>
          <w:lang w:val="nn-NO"/>
        </w:rPr>
        <w:t>6</w:t>
      </w:r>
      <w:r w:rsidRPr="007C5C9F">
        <w:rPr>
          <w:lang w:val="nn-NO"/>
        </w:rPr>
        <w:t xml:space="preserve">. </w:t>
      </w:r>
    </w:p>
    <w:p w:rsidR="00BB5A5D" w:rsidRDefault="00BB5A5D" w:rsidP="0098414A">
      <w:pPr>
        <w:rPr>
          <w:lang w:val="nn-NO"/>
        </w:rPr>
      </w:pPr>
    </w:p>
    <w:p w:rsidR="0098414A" w:rsidRPr="007C5C9F" w:rsidRDefault="0098414A" w:rsidP="0098414A">
      <w:pPr>
        <w:rPr>
          <w:lang w:val="nn-NO"/>
        </w:rPr>
      </w:pPr>
      <w:r w:rsidRPr="007C5C9F">
        <w:rPr>
          <w:lang w:val="nn-NO"/>
        </w:rPr>
        <w:t xml:space="preserve">LDO har </w:t>
      </w:r>
      <w:r>
        <w:rPr>
          <w:lang w:val="nn-NO"/>
        </w:rPr>
        <w:t xml:space="preserve">også </w:t>
      </w:r>
      <w:r w:rsidRPr="007C5C9F">
        <w:rPr>
          <w:lang w:val="nn-NO"/>
        </w:rPr>
        <w:t>i 201</w:t>
      </w:r>
      <w:r>
        <w:rPr>
          <w:lang w:val="nn-NO"/>
        </w:rPr>
        <w:t>6</w:t>
      </w:r>
      <w:r w:rsidRPr="007C5C9F">
        <w:rPr>
          <w:lang w:val="nn-NO"/>
        </w:rPr>
        <w:t xml:space="preserve"> jobba med å møte krava i Digitaliseringsrundskrivet frå regjeringa. Arbeidet har inkludert nytt sakshandsamingssystemet, kor sikker digital postkasse er integrert.</w:t>
      </w:r>
    </w:p>
    <w:p w:rsidR="00BB5A5D" w:rsidRDefault="00BB5A5D" w:rsidP="0098414A">
      <w:pPr>
        <w:rPr>
          <w:lang w:val="nn-NO"/>
        </w:rPr>
      </w:pPr>
    </w:p>
    <w:p w:rsidR="006C4A37" w:rsidRDefault="0098414A" w:rsidP="006C4A37">
      <w:r w:rsidRPr="007C5C9F">
        <w:rPr>
          <w:lang w:val="nn-NO"/>
        </w:rPr>
        <w:t>Reisekostnadene viser ei reduksjon på om lag 3</w:t>
      </w:r>
      <w:r>
        <w:rPr>
          <w:lang w:val="nn-NO"/>
        </w:rPr>
        <w:t>04</w:t>
      </w:r>
      <w:r w:rsidRPr="007C5C9F">
        <w:rPr>
          <w:lang w:val="nn-NO"/>
        </w:rPr>
        <w:t xml:space="preserve"> 000 samanlikna med 201</w:t>
      </w:r>
      <w:r>
        <w:rPr>
          <w:lang w:val="nn-NO"/>
        </w:rPr>
        <w:t>5</w:t>
      </w:r>
      <w:r w:rsidRPr="007C5C9F">
        <w:rPr>
          <w:lang w:val="nn-NO"/>
        </w:rPr>
        <w:t>.</w:t>
      </w:r>
      <w:r w:rsidR="006C4A37">
        <w:rPr>
          <w:lang w:val="nn-NO"/>
        </w:rPr>
        <w:t xml:space="preserve"> </w:t>
      </w:r>
      <w:r w:rsidR="006C4A37" w:rsidRPr="006D31B2">
        <w:t>Regnskapet for 201</w:t>
      </w:r>
      <w:r w:rsidR="006C4A37">
        <w:t>6</w:t>
      </w:r>
      <w:r w:rsidR="006C4A37" w:rsidRPr="006D31B2">
        <w:t xml:space="preserve"> med noter er </w:t>
      </w:r>
      <w:r w:rsidR="006C4A37">
        <w:t xml:space="preserve">vedlagt årsmeldinga </w:t>
      </w:r>
      <w:r w:rsidR="006C4A37" w:rsidRPr="006D31B2">
        <w:t>i e</w:t>
      </w:r>
      <w:r w:rsidR="006C4A37">
        <w:t>i</w:t>
      </w:r>
      <w:r w:rsidR="006C4A37" w:rsidRPr="006D31B2">
        <w:t xml:space="preserve">n </w:t>
      </w:r>
      <w:r w:rsidR="006C4A37">
        <w:t>PDF</w:t>
      </w:r>
      <w:r w:rsidR="006C4A37" w:rsidRPr="006D31B2">
        <w:t>-fil.</w:t>
      </w:r>
    </w:p>
    <w:p w:rsidR="0098414A" w:rsidRPr="006C4A37" w:rsidRDefault="0098414A" w:rsidP="0098414A"/>
    <w:p w:rsidR="0098414A" w:rsidRPr="006C4A37" w:rsidRDefault="0098414A" w:rsidP="0098414A"/>
    <w:tbl>
      <w:tblPr>
        <w:tblStyle w:val="Tabellrutenett"/>
        <w:tblW w:w="9937" w:type="dxa"/>
        <w:tblLayout w:type="fixed"/>
        <w:tblLook w:val="04A0" w:firstRow="1" w:lastRow="0" w:firstColumn="1" w:lastColumn="0" w:noHBand="0" w:noVBand="1"/>
      </w:tblPr>
      <w:tblGrid>
        <w:gridCol w:w="2376"/>
        <w:gridCol w:w="1512"/>
        <w:gridCol w:w="2631"/>
        <w:gridCol w:w="1560"/>
        <w:gridCol w:w="1858"/>
      </w:tblGrid>
      <w:tr w:rsidR="0098414A" w:rsidRPr="007C5C9F" w:rsidTr="0052314F">
        <w:tc>
          <w:tcPr>
            <w:tcW w:w="3888" w:type="dxa"/>
            <w:gridSpan w:val="2"/>
          </w:tcPr>
          <w:p w:rsidR="0098414A" w:rsidRPr="007C5C9F" w:rsidRDefault="0098414A" w:rsidP="0052314F">
            <w:pPr>
              <w:rPr>
                <w:b/>
              </w:rPr>
            </w:pPr>
            <w:r w:rsidRPr="007C5C9F">
              <w:rPr>
                <w:b/>
              </w:rPr>
              <w:t>Etter kontantprinsippet</w:t>
            </w:r>
          </w:p>
        </w:tc>
        <w:tc>
          <w:tcPr>
            <w:tcW w:w="4191" w:type="dxa"/>
            <w:gridSpan w:val="2"/>
          </w:tcPr>
          <w:p w:rsidR="0098414A" w:rsidRPr="007C5C9F" w:rsidRDefault="0098414A" w:rsidP="0052314F">
            <w:pPr>
              <w:rPr>
                <w:b/>
              </w:rPr>
            </w:pPr>
            <w:r w:rsidRPr="007C5C9F">
              <w:rPr>
                <w:b/>
              </w:rPr>
              <w:t>Etter periodisert regnskap</w:t>
            </w:r>
          </w:p>
        </w:tc>
        <w:tc>
          <w:tcPr>
            <w:tcW w:w="1858" w:type="dxa"/>
          </w:tcPr>
          <w:p w:rsidR="0098414A" w:rsidRPr="007C5C9F" w:rsidRDefault="0098414A" w:rsidP="0052314F">
            <w:pPr>
              <w:rPr>
                <w:b/>
              </w:rPr>
            </w:pPr>
            <w:r w:rsidRPr="007C5C9F">
              <w:rPr>
                <w:b/>
              </w:rPr>
              <w:t>Differanse</w:t>
            </w:r>
          </w:p>
        </w:tc>
      </w:tr>
      <w:tr w:rsidR="0098414A" w:rsidRPr="007C5C9F" w:rsidTr="0052314F">
        <w:tc>
          <w:tcPr>
            <w:tcW w:w="2376" w:type="dxa"/>
          </w:tcPr>
          <w:p w:rsidR="0098414A" w:rsidRPr="007C5C9F" w:rsidRDefault="0098414A" w:rsidP="0052314F">
            <w:r w:rsidRPr="007C5C9F">
              <w:t>Sum innbetalinger</w:t>
            </w:r>
          </w:p>
        </w:tc>
        <w:tc>
          <w:tcPr>
            <w:tcW w:w="1512" w:type="dxa"/>
          </w:tcPr>
          <w:p w:rsidR="0098414A" w:rsidRPr="007C5C9F" w:rsidRDefault="0098414A" w:rsidP="0052314F">
            <w:pPr>
              <w:jc w:val="right"/>
            </w:pPr>
            <w:r>
              <w:t>52 886 328</w:t>
            </w:r>
          </w:p>
        </w:tc>
        <w:tc>
          <w:tcPr>
            <w:tcW w:w="2631" w:type="dxa"/>
          </w:tcPr>
          <w:p w:rsidR="0098414A" w:rsidRPr="007C5C9F" w:rsidRDefault="0098414A" w:rsidP="0052314F">
            <w:r w:rsidRPr="007C5C9F">
              <w:t>Sum driftsinntekter</w:t>
            </w:r>
          </w:p>
        </w:tc>
        <w:tc>
          <w:tcPr>
            <w:tcW w:w="1560" w:type="dxa"/>
          </w:tcPr>
          <w:p w:rsidR="0098414A" w:rsidRPr="007C5C9F" w:rsidRDefault="0098414A" w:rsidP="0052314F">
            <w:pPr>
              <w:jc w:val="right"/>
            </w:pPr>
            <w:r>
              <w:t>52 120 639</w:t>
            </w:r>
          </w:p>
        </w:tc>
        <w:tc>
          <w:tcPr>
            <w:tcW w:w="1858" w:type="dxa"/>
          </w:tcPr>
          <w:p w:rsidR="0098414A" w:rsidRPr="007C5C9F" w:rsidRDefault="0098414A" w:rsidP="0052314F">
            <w:pPr>
              <w:jc w:val="right"/>
            </w:pPr>
            <w:r>
              <w:t>765 689</w:t>
            </w:r>
          </w:p>
        </w:tc>
      </w:tr>
      <w:tr w:rsidR="0098414A" w:rsidRPr="007C5C9F" w:rsidTr="0052314F">
        <w:tc>
          <w:tcPr>
            <w:tcW w:w="2376" w:type="dxa"/>
          </w:tcPr>
          <w:p w:rsidR="0098414A" w:rsidRPr="007C5C9F" w:rsidRDefault="0098414A" w:rsidP="0052314F">
            <w:r w:rsidRPr="007C5C9F">
              <w:t>Sum utbetalinger</w:t>
            </w:r>
          </w:p>
        </w:tc>
        <w:tc>
          <w:tcPr>
            <w:tcW w:w="1512" w:type="dxa"/>
          </w:tcPr>
          <w:p w:rsidR="0098414A" w:rsidRPr="007C5C9F" w:rsidRDefault="0098414A" w:rsidP="0052314F">
            <w:pPr>
              <w:jc w:val="right"/>
            </w:pPr>
            <w:r>
              <w:t>51 802 426</w:t>
            </w:r>
          </w:p>
        </w:tc>
        <w:tc>
          <w:tcPr>
            <w:tcW w:w="2631" w:type="dxa"/>
          </w:tcPr>
          <w:p w:rsidR="0098414A" w:rsidRPr="007C5C9F" w:rsidRDefault="0098414A" w:rsidP="0052314F">
            <w:r w:rsidRPr="007C5C9F">
              <w:t>Sum driftskostnader</w:t>
            </w:r>
          </w:p>
        </w:tc>
        <w:tc>
          <w:tcPr>
            <w:tcW w:w="1560" w:type="dxa"/>
          </w:tcPr>
          <w:p w:rsidR="0098414A" w:rsidRPr="007C5C9F" w:rsidRDefault="0098414A" w:rsidP="0052314F">
            <w:pPr>
              <w:jc w:val="right"/>
            </w:pPr>
            <w:r>
              <w:t>52 120 045</w:t>
            </w:r>
          </w:p>
        </w:tc>
        <w:tc>
          <w:tcPr>
            <w:tcW w:w="1858" w:type="dxa"/>
          </w:tcPr>
          <w:p w:rsidR="0098414A" w:rsidRPr="007C5C9F" w:rsidRDefault="0098414A" w:rsidP="0052314F">
            <w:pPr>
              <w:jc w:val="right"/>
            </w:pPr>
            <w:r>
              <w:t>-317 619</w:t>
            </w:r>
          </w:p>
        </w:tc>
      </w:tr>
      <w:tr w:rsidR="0098414A" w:rsidRPr="007C5C9F" w:rsidTr="0052314F">
        <w:tc>
          <w:tcPr>
            <w:tcW w:w="2376" w:type="dxa"/>
          </w:tcPr>
          <w:p w:rsidR="0098414A" w:rsidRPr="007C5C9F" w:rsidRDefault="0098414A" w:rsidP="0052314F">
            <w:r w:rsidRPr="007C5C9F">
              <w:t>Netto kontantstrøm</w:t>
            </w:r>
          </w:p>
        </w:tc>
        <w:tc>
          <w:tcPr>
            <w:tcW w:w="1512" w:type="dxa"/>
          </w:tcPr>
          <w:p w:rsidR="0098414A" w:rsidRPr="007C5C9F" w:rsidRDefault="0098414A" w:rsidP="0052314F">
            <w:pPr>
              <w:jc w:val="right"/>
            </w:pPr>
            <w:r>
              <w:t>1 083 902</w:t>
            </w:r>
          </w:p>
        </w:tc>
        <w:tc>
          <w:tcPr>
            <w:tcW w:w="2631" w:type="dxa"/>
          </w:tcPr>
          <w:p w:rsidR="0098414A" w:rsidRPr="007C5C9F" w:rsidRDefault="0098414A" w:rsidP="0052314F">
            <w:r w:rsidRPr="007C5C9F">
              <w:t>Driftsresultat</w:t>
            </w:r>
          </w:p>
        </w:tc>
        <w:tc>
          <w:tcPr>
            <w:tcW w:w="1560" w:type="dxa"/>
          </w:tcPr>
          <w:p w:rsidR="0098414A" w:rsidRPr="007C5C9F" w:rsidRDefault="0098414A" w:rsidP="0052314F">
            <w:pPr>
              <w:jc w:val="right"/>
            </w:pPr>
            <w:r>
              <w:t>594</w:t>
            </w:r>
          </w:p>
        </w:tc>
        <w:tc>
          <w:tcPr>
            <w:tcW w:w="1858" w:type="dxa"/>
          </w:tcPr>
          <w:p w:rsidR="0098414A" w:rsidRPr="007C5C9F" w:rsidRDefault="0098414A" w:rsidP="0052314F">
            <w:pPr>
              <w:jc w:val="right"/>
            </w:pPr>
            <w:r>
              <w:t>1 083 308</w:t>
            </w:r>
          </w:p>
        </w:tc>
      </w:tr>
    </w:tbl>
    <w:p w:rsidR="0098414A" w:rsidRPr="007C5C9F" w:rsidRDefault="0098414A" w:rsidP="0098414A">
      <w:pPr>
        <w:jc w:val="center"/>
        <w:rPr>
          <w:i/>
        </w:rPr>
      </w:pPr>
    </w:p>
    <w:p w:rsidR="0098414A" w:rsidRPr="007C5C9F" w:rsidRDefault="0098414A" w:rsidP="0098414A">
      <w:pPr>
        <w:jc w:val="center"/>
      </w:pPr>
      <w:r w:rsidRPr="007C5C9F">
        <w:rPr>
          <w:i/>
        </w:rPr>
        <w:t>2</w:t>
      </w:r>
      <w:r>
        <w:rPr>
          <w:i/>
        </w:rPr>
        <w:t>8</w:t>
      </w:r>
      <w:r w:rsidRPr="007C5C9F">
        <w:rPr>
          <w:i/>
        </w:rPr>
        <w:t>. februar 201</w:t>
      </w:r>
      <w:r>
        <w:rPr>
          <w:i/>
        </w:rPr>
        <w:t>7</w:t>
      </w:r>
      <w:r w:rsidRPr="007C5C9F">
        <w:rPr>
          <w:i/>
        </w:rPr>
        <w:br/>
      </w:r>
    </w:p>
    <w:p w:rsidR="0098414A" w:rsidRPr="007C5C9F" w:rsidRDefault="0098414A" w:rsidP="0098414A">
      <w:pPr>
        <w:jc w:val="center"/>
      </w:pPr>
    </w:p>
    <w:p w:rsidR="0098414A" w:rsidRPr="006D31B2" w:rsidRDefault="0098414A" w:rsidP="0098414A">
      <w:pPr>
        <w:jc w:val="center"/>
      </w:pPr>
      <w:r w:rsidRPr="007C5C9F">
        <w:t xml:space="preserve">Hanne Inger Bjurstrøm </w:t>
      </w:r>
      <w:r w:rsidRPr="007C5C9F">
        <w:br/>
        <w:t>likestillings- og diskrimineringsombod</w:t>
      </w:r>
    </w:p>
    <w:p w:rsidR="0098414A" w:rsidRPr="006D31B2" w:rsidRDefault="0098414A" w:rsidP="0098414A"/>
    <w:bookmarkEnd w:id="27"/>
    <w:bookmarkEnd w:id="28"/>
    <w:p w:rsidR="0098414A" w:rsidRDefault="0098414A" w:rsidP="0098414A"/>
    <w:p w:rsidR="0098414A" w:rsidRPr="00872777" w:rsidRDefault="0098414A" w:rsidP="006C5C63">
      <w:pPr>
        <w:pStyle w:val="Overskrift1"/>
      </w:pPr>
      <w:bookmarkStart w:id="41" w:name="_Toc476060741"/>
      <w:r w:rsidRPr="00872777">
        <w:t>Vurdering av framtidsutsikter</w:t>
      </w:r>
      <w:bookmarkEnd w:id="41"/>
      <w:r w:rsidRPr="00872777">
        <w:t xml:space="preserve"> </w:t>
      </w:r>
    </w:p>
    <w:p w:rsidR="0098414A" w:rsidRPr="00872777" w:rsidRDefault="0098414A" w:rsidP="0098414A">
      <w:pPr>
        <w:rPr>
          <w:lang w:val="nn-NO"/>
        </w:rPr>
      </w:pPr>
      <w:r w:rsidRPr="00872777">
        <w:rPr>
          <w:lang w:val="nn-NO"/>
        </w:rPr>
        <w:t xml:space="preserve">Det er store utfordringar på likestillings- og diskrimineringsfeltet i Noreg. Utviklinga i 2016 uroar oss framleis, og vi fryktar at dei tema som har prega 2016 vil auke faren for at folk i Noreg blir utsett for diskriminering. </w:t>
      </w:r>
    </w:p>
    <w:p w:rsidR="0098414A" w:rsidRPr="00872777" w:rsidRDefault="0098414A" w:rsidP="0098414A">
      <w:pPr>
        <w:rPr>
          <w:lang w:val="nn-NO"/>
        </w:rPr>
      </w:pPr>
    </w:p>
    <w:p w:rsidR="0098414A" w:rsidRDefault="0098414A" w:rsidP="0098414A">
      <w:pPr>
        <w:rPr>
          <w:lang w:val="nn-NO"/>
        </w:rPr>
      </w:pPr>
      <w:r w:rsidRPr="00872777">
        <w:rPr>
          <w:lang w:val="nn-NO"/>
        </w:rPr>
        <w:t xml:space="preserve">Økonomiske nedgangstider fører til høgare terskel for å komme inn i arbeidslivet, noko vi veit fører til meir diskriminering av utsette grupper. Flyktningsituasjonen har ført til at fleire er kritiske til innvandring, og til ein tilspissa samfunnsdebatt med sterke motsettingar. Mobbing og trakassering er framleis ei stor utfordring for skoleungdom. Hatytringar er utbredt og rammar mange grupper i samfunnet vårt, som til dømes kvinner, religiøse minoriteter og folk med nedsett funksjonsevne. </w:t>
      </w:r>
      <w:r>
        <w:rPr>
          <w:lang w:val="nn-NO"/>
        </w:rPr>
        <w:t xml:space="preserve">Vi etterlyser ein offensiv politikk for å handtere disse utfordringane. </w:t>
      </w:r>
    </w:p>
    <w:p w:rsidR="0098414A" w:rsidRPr="00D37424" w:rsidRDefault="0098414A" w:rsidP="0098414A">
      <w:pPr>
        <w:rPr>
          <w:lang w:val="nn-NO"/>
        </w:rPr>
      </w:pPr>
    </w:p>
    <w:p w:rsidR="001D19DE" w:rsidRDefault="0098414A" w:rsidP="008E07A0">
      <w:pPr>
        <w:rPr>
          <w:lang w:val="nn-NO"/>
        </w:rPr>
      </w:pPr>
      <w:r>
        <w:rPr>
          <w:lang w:val="nn-NO"/>
        </w:rPr>
        <w:t>Regjeringa</w:t>
      </w:r>
      <w:r w:rsidRPr="00D37424">
        <w:rPr>
          <w:lang w:val="nn-NO"/>
        </w:rPr>
        <w:t xml:space="preserve"> har varsla store omveltingar på likestillings- og diskrimineringsfeltet både når det gjeld lovverk og handheving. </w:t>
      </w:r>
      <w:r>
        <w:rPr>
          <w:lang w:val="nn-NO"/>
        </w:rPr>
        <w:t>Regjeringa tar sikte på å få behandle forslaga til ny organisering av ombodet og nemnda i løpet av våren 2017. Ombodet har påpeika at det er uklart hvilke konsekvensar omorgaiseringa får for rettigheitane til brukarane av ombodet. Altså dei som blir utsette for diskriminering.</w:t>
      </w:r>
    </w:p>
    <w:p w:rsidR="00945677" w:rsidRDefault="00945677" w:rsidP="008E07A0">
      <w:pPr>
        <w:rPr>
          <w:lang w:val="nn-NO"/>
        </w:rPr>
      </w:pPr>
    </w:p>
    <w:p w:rsidR="00085D8D" w:rsidRPr="00BB5A5D" w:rsidRDefault="00945677" w:rsidP="00945677">
      <w:pPr>
        <w:rPr>
          <w:lang w:val="nn-NO"/>
        </w:rPr>
      </w:pPr>
      <w:r>
        <w:rPr>
          <w:lang w:val="nn-NO"/>
        </w:rPr>
        <w:t xml:space="preserve">Som </w:t>
      </w:r>
      <w:r w:rsidR="003A6704">
        <w:rPr>
          <w:lang w:val="nn-NO"/>
        </w:rPr>
        <w:t>omtalt</w:t>
      </w:r>
      <w:r>
        <w:rPr>
          <w:lang w:val="nn-NO"/>
        </w:rPr>
        <w:t xml:space="preserve"> i føreord har omodet arbeida med ein ny strategi for perioden 2017-2022. </w:t>
      </w:r>
      <w:r w:rsidRPr="00591ECF">
        <w:rPr>
          <w:lang w:val="nn-NO"/>
        </w:rPr>
        <w:t>Hovudsatsingsområd</w:t>
      </w:r>
      <w:r>
        <w:rPr>
          <w:lang w:val="nn-NO"/>
        </w:rPr>
        <w:t>a for ombo</w:t>
      </w:r>
      <w:r w:rsidRPr="00591ECF">
        <w:rPr>
          <w:lang w:val="nn-NO"/>
        </w:rPr>
        <w:t>det de</w:t>
      </w:r>
      <w:r>
        <w:rPr>
          <w:lang w:val="nn-NO"/>
        </w:rPr>
        <w:t>i</w:t>
      </w:r>
      <w:r w:rsidRPr="00591ECF">
        <w:rPr>
          <w:lang w:val="nn-NO"/>
        </w:rPr>
        <w:t xml:space="preserve"> neste seks år</w:t>
      </w:r>
      <w:r>
        <w:rPr>
          <w:lang w:val="nn-NO"/>
        </w:rPr>
        <w:t>a er innanfor arbeidsliv, sku</w:t>
      </w:r>
      <w:r w:rsidRPr="00591ECF">
        <w:rPr>
          <w:lang w:val="nn-NO"/>
        </w:rPr>
        <w:t>le og utdanning, vald</w:t>
      </w:r>
      <w:r>
        <w:rPr>
          <w:lang w:val="nn-NO"/>
        </w:rPr>
        <w:t xml:space="preserve"> i nære relasjonar</w:t>
      </w:r>
      <w:r w:rsidRPr="00591ECF">
        <w:rPr>
          <w:lang w:val="nn-NO"/>
        </w:rPr>
        <w:t>, overgrep og seksuell</w:t>
      </w:r>
      <w:r>
        <w:rPr>
          <w:lang w:val="nn-NO"/>
        </w:rPr>
        <w:t xml:space="preserve"> </w:t>
      </w:r>
      <w:r w:rsidRPr="00591ECF">
        <w:rPr>
          <w:lang w:val="nn-NO"/>
        </w:rPr>
        <w:t>trakassering, helse, bruk av tvang, hatkriminalitet og hatefulle yt</w:t>
      </w:r>
      <w:r>
        <w:rPr>
          <w:lang w:val="nn-NO"/>
        </w:rPr>
        <w:t>ringa</w:t>
      </w:r>
      <w:r w:rsidRPr="00591ECF">
        <w:rPr>
          <w:lang w:val="nn-NO"/>
        </w:rPr>
        <w:t>r.</w:t>
      </w:r>
      <w:r>
        <w:rPr>
          <w:lang w:val="nn-NO"/>
        </w:rPr>
        <w:t xml:space="preserve"> Strategien er utarbeida i samarbeid med sivilt samfunn. Ombodet ba om innspel frå meir enn 400 organisasjonar og virksomheitar i arbeide med strategien. Vi meiner derfor at det er viktig at både ombodet og </w:t>
      </w:r>
      <w:r w:rsidR="003A6704">
        <w:rPr>
          <w:lang w:val="nn-NO"/>
        </w:rPr>
        <w:t xml:space="preserve">vi som </w:t>
      </w:r>
      <w:r>
        <w:rPr>
          <w:lang w:val="nn-NO"/>
        </w:rPr>
        <w:t>samfunn</w:t>
      </w:r>
      <w:r w:rsidR="003A6704">
        <w:rPr>
          <w:lang w:val="nn-NO"/>
        </w:rPr>
        <w:t xml:space="preserve"> </w:t>
      </w:r>
      <w:r>
        <w:rPr>
          <w:lang w:val="nn-NO"/>
        </w:rPr>
        <w:t>arbeidar med temaer innenfor desse områda.</w:t>
      </w:r>
    </w:p>
    <w:sectPr w:rsidR="00085D8D" w:rsidRPr="00BB5A5D" w:rsidSect="0098414A">
      <w:footerReference w:type="default" r:id="rId10"/>
      <w:type w:val="oddPage"/>
      <w:pgSz w:w="11906" w:h="16838" w:code="11"/>
      <w:pgMar w:top="1417" w:right="1417" w:bottom="1417" w:left="1417" w:header="709" w:footer="709" w:gutter="0"/>
      <w:paperSrc w:first="1" w:other="2"/>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B9" w:rsidRDefault="00EC39B9" w:rsidP="0098414A">
      <w:pPr>
        <w:spacing w:before="0" w:after="0"/>
      </w:pPr>
      <w:r>
        <w:separator/>
      </w:r>
    </w:p>
  </w:endnote>
  <w:endnote w:type="continuationSeparator" w:id="0">
    <w:p w:rsidR="00EC39B9" w:rsidRDefault="00EC39B9" w:rsidP="009841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21776"/>
      <w:docPartObj>
        <w:docPartGallery w:val="Page Numbers (Bottom of Page)"/>
        <w:docPartUnique/>
      </w:docPartObj>
    </w:sdtPr>
    <w:sdtEndPr/>
    <w:sdtContent>
      <w:p w:rsidR="00EC39B9" w:rsidRDefault="00EC39B9">
        <w:pPr>
          <w:pStyle w:val="Bunntekst"/>
          <w:jc w:val="center"/>
        </w:pPr>
        <w:r>
          <w:fldChar w:fldCharType="begin"/>
        </w:r>
        <w:r>
          <w:instrText>PAGE   \* MERGEFORMAT</w:instrText>
        </w:r>
        <w:r>
          <w:fldChar w:fldCharType="separate"/>
        </w:r>
        <w:r w:rsidR="00BE0620">
          <w:rPr>
            <w:noProof/>
          </w:rPr>
          <w:t>25</w:t>
        </w:r>
        <w:r>
          <w:fldChar w:fldCharType="end"/>
        </w:r>
      </w:p>
    </w:sdtContent>
  </w:sdt>
  <w:p w:rsidR="00EC39B9" w:rsidRDefault="00EC39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B9" w:rsidRDefault="00EC39B9" w:rsidP="0098414A">
      <w:pPr>
        <w:spacing w:before="0" w:after="0"/>
      </w:pPr>
      <w:r>
        <w:separator/>
      </w:r>
    </w:p>
  </w:footnote>
  <w:footnote w:type="continuationSeparator" w:id="0">
    <w:p w:rsidR="00EC39B9" w:rsidRDefault="00EC39B9" w:rsidP="0098414A">
      <w:pPr>
        <w:spacing w:before="0" w:after="0"/>
      </w:pPr>
      <w:r>
        <w:continuationSeparator/>
      </w:r>
    </w:p>
  </w:footnote>
  <w:footnote w:id="1">
    <w:p w:rsidR="00EC39B9" w:rsidRPr="003A6704" w:rsidRDefault="00EC39B9" w:rsidP="00BD0E26">
      <w:pPr>
        <w:rPr>
          <w:sz w:val="22"/>
          <w:szCs w:val="22"/>
          <w:lang w:val="nn-NO"/>
        </w:rPr>
      </w:pPr>
      <w:r>
        <w:rPr>
          <w:rStyle w:val="Fotnotereferanse"/>
        </w:rPr>
        <w:footnoteRef/>
      </w:r>
      <w:r>
        <w:t xml:space="preserve"> Forskjellen mellom totalen i 2016 og 2015 er på heile 11 tilsatte. </w:t>
      </w:r>
      <w:r w:rsidRPr="00D26C4E">
        <w:t xml:space="preserve">Orsaka er at </w:t>
      </w:r>
      <w:r w:rsidR="00D26C4E" w:rsidRPr="00D26C4E">
        <w:t>tilsette</w:t>
      </w:r>
      <w:r w:rsidRPr="00D26C4E">
        <w:t xml:space="preserve"> i lovfestet permisjon per 31.12.2015 og personar i hospiteringsoppdrag vart erstatta. </w:t>
      </w:r>
      <w:r w:rsidRPr="003A6704">
        <w:rPr>
          <w:lang w:val="nn-NO"/>
        </w:rPr>
        <w:t xml:space="preserve">Det betyr at både vikarane og dei </w:t>
      </w:r>
      <w:r w:rsidR="00D26C4E" w:rsidRPr="003A6704">
        <w:rPr>
          <w:lang w:val="nn-NO"/>
        </w:rPr>
        <w:t>tilsette</w:t>
      </w:r>
      <w:r w:rsidRPr="003A6704">
        <w:rPr>
          <w:lang w:val="nn-NO"/>
        </w:rPr>
        <w:t xml:space="preserve"> som var i permisjon vert medregna.</w:t>
      </w:r>
    </w:p>
    <w:p w:rsidR="00EC39B9" w:rsidRPr="003A6704" w:rsidRDefault="00EC39B9">
      <w:pPr>
        <w:pStyle w:val="Fotnotetekst"/>
        <w:rPr>
          <w:lang w:val="nn-NO"/>
        </w:rPr>
      </w:pPr>
    </w:p>
  </w:footnote>
  <w:footnote w:id="2">
    <w:p w:rsidR="00EC39B9" w:rsidRDefault="00EC39B9" w:rsidP="0098414A">
      <w:pPr>
        <w:pStyle w:val="Fotnotetekst"/>
      </w:pPr>
      <w:r>
        <w:rPr>
          <w:rStyle w:val="Fotnotereferanse"/>
        </w:rPr>
        <w:footnoteRef/>
      </w:r>
      <w:r>
        <w:t xml:space="preserve"> </w:t>
      </w:r>
      <w:r>
        <w:rPr>
          <w:color w:val="000000"/>
        </w:rPr>
        <w:t>Brudd omgjord til ikkje brudd eller lagd bort/avvist.</w:t>
      </w:r>
    </w:p>
  </w:footnote>
  <w:footnote w:id="3">
    <w:p w:rsidR="00EC39B9" w:rsidRDefault="00EC39B9" w:rsidP="0098414A">
      <w:pPr>
        <w:pStyle w:val="Fotnotetekst"/>
      </w:pPr>
      <w:r>
        <w:rPr>
          <w:rStyle w:val="Fotnotereferanse"/>
        </w:rPr>
        <w:footnoteRef/>
      </w:r>
      <w:r>
        <w:t xml:space="preserve"> I</w:t>
      </w:r>
      <w:r>
        <w:rPr>
          <w:color w:val="000000"/>
        </w:rPr>
        <w:t>kkje brudd omgjord til brudd, og saker lagd bort eller avvist sendt tilbake til ombodet.</w:t>
      </w:r>
    </w:p>
  </w:footnote>
  <w:footnote w:id="4">
    <w:p w:rsidR="00EC39B9" w:rsidRPr="00D26C4E" w:rsidRDefault="00EC39B9" w:rsidP="00BD0E26">
      <w:pPr>
        <w:rPr>
          <w:sz w:val="22"/>
          <w:szCs w:val="22"/>
          <w:lang w:val="nn-NO"/>
        </w:rPr>
      </w:pPr>
      <w:r>
        <w:rPr>
          <w:rStyle w:val="Fotnotereferanse"/>
        </w:rPr>
        <w:footnoteRef/>
      </w:r>
      <w:r>
        <w:t xml:space="preserve"> </w:t>
      </w:r>
      <w:r w:rsidR="00D26C4E">
        <w:t xml:space="preserve">Forskjellen mellom totalen i 2016 og 2015 er på heile 11 tilsatte. </w:t>
      </w:r>
      <w:r w:rsidR="00D26C4E" w:rsidRPr="00D26C4E">
        <w:t xml:space="preserve">Orsaka er at tilsette i lovfestet permisjon per 31.12.2015 og personar i hospiteringsoppdrag vart erstatta. </w:t>
      </w:r>
      <w:r w:rsidR="00D26C4E" w:rsidRPr="00D26C4E">
        <w:rPr>
          <w:lang w:val="nn-NO"/>
        </w:rPr>
        <w:t>Det betyr at både vikarane og dei tilsette som var i permisjon vert medregna.</w:t>
      </w:r>
    </w:p>
    <w:p w:rsidR="00EC39B9" w:rsidRPr="00BD0E26" w:rsidRDefault="00EC39B9">
      <w:pPr>
        <w:pStyle w:val="Fotnotetekst"/>
        <w:rPr>
          <w:lang w:val="nn-N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1E8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0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D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EBBE2"/>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9342D6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A2AD4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12651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03398"/>
    <w:multiLevelType w:val="hybridMultilevel"/>
    <w:tmpl w:val="1D6E7690"/>
    <w:lvl w:ilvl="0" w:tplc="522CE5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A064519"/>
    <w:multiLevelType w:val="hybridMultilevel"/>
    <w:tmpl w:val="37449F48"/>
    <w:lvl w:ilvl="0" w:tplc="F4E45C52">
      <w:start w:val="1"/>
      <w:numFmt w:val="bullet"/>
      <w:lvlText w:val="–"/>
      <w:lvlJc w:val="left"/>
      <w:pPr>
        <w:tabs>
          <w:tab w:val="num" w:pos="720"/>
        </w:tabs>
        <w:ind w:left="720" w:hanging="360"/>
      </w:pPr>
      <w:rPr>
        <w:rFonts w:ascii="Times New Roman" w:hAnsi="Times New Roman" w:hint="default"/>
      </w:rPr>
    </w:lvl>
    <w:lvl w:ilvl="1" w:tplc="14102AC6">
      <w:start w:val="1"/>
      <w:numFmt w:val="bullet"/>
      <w:lvlText w:val="–"/>
      <w:lvlJc w:val="left"/>
      <w:pPr>
        <w:tabs>
          <w:tab w:val="num" w:pos="1440"/>
        </w:tabs>
        <w:ind w:left="1440" w:hanging="360"/>
      </w:pPr>
      <w:rPr>
        <w:rFonts w:ascii="Times New Roman" w:hAnsi="Times New Roman" w:hint="default"/>
      </w:rPr>
    </w:lvl>
    <w:lvl w:ilvl="2" w:tplc="52E699E6" w:tentative="1">
      <w:start w:val="1"/>
      <w:numFmt w:val="bullet"/>
      <w:lvlText w:val="–"/>
      <w:lvlJc w:val="left"/>
      <w:pPr>
        <w:tabs>
          <w:tab w:val="num" w:pos="2160"/>
        </w:tabs>
        <w:ind w:left="2160" w:hanging="360"/>
      </w:pPr>
      <w:rPr>
        <w:rFonts w:ascii="Times New Roman" w:hAnsi="Times New Roman" w:hint="default"/>
      </w:rPr>
    </w:lvl>
    <w:lvl w:ilvl="3" w:tplc="96C8EABC" w:tentative="1">
      <w:start w:val="1"/>
      <w:numFmt w:val="bullet"/>
      <w:lvlText w:val="–"/>
      <w:lvlJc w:val="left"/>
      <w:pPr>
        <w:tabs>
          <w:tab w:val="num" w:pos="2880"/>
        </w:tabs>
        <w:ind w:left="2880" w:hanging="360"/>
      </w:pPr>
      <w:rPr>
        <w:rFonts w:ascii="Times New Roman" w:hAnsi="Times New Roman" w:hint="default"/>
      </w:rPr>
    </w:lvl>
    <w:lvl w:ilvl="4" w:tplc="AD5A00DA" w:tentative="1">
      <w:start w:val="1"/>
      <w:numFmt w:val="bullet"/>
      <w:lvlText w:val="–"/>
      <w:lvlJc w:val="left"/>
      <w:pPr>
        <w:tabs>
          <w:tab w:val="num" w:pos="3600"/>
        </w:tabs>
        <w:ind w:left="3600" w:hanging="360"/>
      </w:pPr>
      <w:rPr>
        <w:rFonts w:ascii="Times New Roman" w:hAnsi="Times New Roman" w:hint="default"/>
      </w:rPr>
    </w:lvl>
    <w:lvl w:ilvl="5" w:tplc="121046C0" w:tentative="1">
      <w:start w:val="1"/>
      <w:numFmt w:val="bullet"/>
      <w:lvlText w:val="–"/>
      <w:lvlJc w:val="left"/>
      <w:pPr>
        <w:tabs>
          <w:tab w:val="num" w:pos="4320"/>
        </w:tabs>
        <w:ind w:left="4320" w:hanging="360"/>
      </w:pPr>
      <w:rPr>
        <w:rFonts w:ascii="Times New Roman" w:hAnsi="Times New Roman" w:hint="default"/>
      </w:rPr>
    </w:lvl>
    <w:lvl w:ilvl="6" w:tplc="83A84476" w:tentative="1">
      <w:start w:val="1"/>
      <w:numFmt w:val="bullet"/>
      <w:lvlText w:val="–"/>
      <w:lvlJc w:val="left"/>
      <w:pPr>
        <w:tabs>
          <w:tab w:val="num" w:pos="5040"/>
        </w:tabs>
        <w:ind w:left="5040" w:hanging="360"/>
      </w:pPr>
      <w:rPr>
        <w:rFonts w:ascii="Times New Roman" w:hAnsi="Times New Roman" w:hint="default"/>
      </w:rPr>
    </w:lvl>
    <w:lvl w:ilvl="7" w:tplc="F26492E8" w:tentative="1">
      <w:start w:val="1"/>
      <w:numFmt w:val="bullet"/>
      <w:lvlText w:val="–"/>
      <w:lvlJc w:val="left"/>
      <w:pPr>
        <w:tabs>
          <w:tab w:val="num" w:pos="5760"/>
        </w:tabs>
        <w:ind w:left="5760" w:hanging="360"/>
      </w:pPr>
      <w:rPr>
        <w:rFonts w:ascii="Times New Roman" w:hAnsi="Times New Roman" w:hint="default"/>
      </w:rPr>
    </w:lvl>
    <w:lvl w:ilvl="8" w:tplc="5740B7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D357F8"/>
    <w:multiLevelType w:val="hybridMultilevel"/>
    <w:tmpl w:val="AD5AD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F14C14"/>
    <w:multiLevelType w:val="hybridMultilevel"/>
    <w:tmpl w:val="A1F49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995AC5"/>
    <w:multiLevelType w:val="hybridMultilevel"/>
    <w:tmpl w:val="C6F4F1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2EE3022E"/>
    <w:multiLevelType w:val="hybridMultilevel"/>
    <w:tmpl w:val="A4EEA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85450D"/>
    <w:multiLevelType w:val="hybridMultilevel"/>
    <w:tmpl w:val="9C0297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D797F72"/>
    <w:multiLevelType w:val="hybridMultilevel"/>
    <w:tmpl w:val="B44AFF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7474002"/>
    <w:multiLevelType w:val="hybridMultilevel"/>
    <w:tmpl w:val="4DBEC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4BD15A0B"/>
    <w:multiLevelType w:val="hybridMultilevel"/>
    <w:tmpl w:val="44C25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631167"/>
    <w:multiLevelType w:val="hybridMultilevel"/>
    <w:tmpl w:val="B1C457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F287D44"/>
    <w:multiLevelType w:val="hybridMultilevel"/>
    <w:tmpl w:val="3D601C88"/>
    <w:lvl w:ilvl="0" w:tplc="6C86B5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9EB67B5"/>
    <w:multiLevelType w:val="hybridMultilevel"/>
    <w:tmpl w:val="ECBEC9DC"/>
    <w:lvl w:ilvl="0" w:tplc="3F6C786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AAB7668"/>
    <w:multiLevelType w:val="hybridMultilevel"/>
    <w:tmpl w:val="9EEE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DA69E7"/>
    <w:multiLevelType w:val="hybridMultilevel"/>
    <w:tmpl w:val="8D72D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1300100"/>
    <w:multiLevelType w:val="hybridMultilevel"/>
    <w:tmpl w:val="366C4968"/>
    <w:lvl w:ilvl="0" w:tplc="737E1D0C">
      <w:start w:val="1"/>
      <w:numFmt w:val="decimal"/>
      <w:suff w:val="space"/>
      <w:lvlText w:val="Kapittel %1."/>
      <w:lvlJc w:val="left"/>
      <w:pPr>
        <w:ind w:left="57" w:hanging="57"/>
      </w:pPr>
      <w:rPr>
        <w:rFonts w:hint="default"/>
        <w:b/>
        <w:sz w:val="36"/>
        <w:szCs w:val="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A252CCB"/>
    <w:multiLevelType w:val="multilevel"/>
    <w:tmpl w:val="1D62B6FE"/>
    <w:lvl w:ilvl="0">
      <w:start w:val="1"/>
      <w:numFmt w:val="decimal"/>
      <w:pStyle w:val="Overskrift1"/>
      <w:suff w:val="space"/>
      <w:lvlText w:val="Kapittel %1"/>
      <w:lvlJc w:val="left"/>
      <w:pPr>
        <w:ind w:left="0" w:firstLine="0"/>
      </w:pPr>
      <w:rPr>
        <w:rFonts w:hint="default"/>
        <w:b/>
        <w:sz w:val="36"/>
      </w:rPr>
    </w:lvl>
    <w:lvl w:ilvl="1">
      <w:start w:val="1"/>
      <w:numFmt w:val="decimal"/>
      <w:pStyle w:val="Overskrift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24" w15:restartNumberingAfterBreak="0">
    <w:nsid w:val="7EF72A36"/>
    <w:multiLevelType w:val="hybridMultilevel"/>
    <w:tmpl w:val="2DD82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9"/>
  </w:num>
  <w:num w:numId="5">
    <w:abstractNumId w:val="20"/>
  </w:num>
  <w:num w:numId="6">
    <w:abstractNumId w:val="10"/>
  </w:num>
  <w:num w:numId="7">
    <w:abstractNumId w:val="16"/>
  </w:num>
  <w:num w:numId="8">
    <w:abstractNumId w:val="18"/>
  </w:num>
  <w:num w:numId="9">
    <w:abstractNumId w:val="17"/>
  </w:num>
  <w:num w:numId="10">
    <w:abstractNumId w:val="14"/>
  </w:num>
  <w:num w:numId="11">
    <w:abstractNumId w:val="24"/>
  </w:num>
  <w:num w:numId="12">
    <w:abstractNumId w:val="15"/>
  </w:num>
  <w:num w:numId="13">
    <w:abstractNumId w:val="19"/>
  </w:num>
  <w:num w:numId="14">
    <w:abstractNumId w:val="11"/>
  </w:num>
  <w:num w:numId="15">
    <w:abstractNumId w:val="21"/>
  </w:num>
  <w:num w:numId="16">
    <w:abstractNumId w:val="7"/>
  </w:num>
  <w:num w:numId="17">
    <w:abstractNumId w:val="22"/>
  </w:num>
  <w:num w:numId="18">
    <w:abstractNumId w:val="5"/>
  </w:num>
  <w:num w:numId="19">
    <w:abstractNumId w:val="3"/>
  </w:num>
  <w:num w:numId="20">
    <w:abstractNumId w:val="2"/>
  </w:num>
  <w:num w:numId="21">
    <w:abstractNumId w:val="1"/>
  </w:num>
  <w:num w:numId="22">
    <w:abstractNumId w:val="0"/>
  </w:num>
  <w:num w:numId="23">
    <w:abstractNumId w:val="2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nb-NO" w:vendorID="64" w:dllVersion="131078" w:nlCheck="1" w:checkStyle="0"/>
  <w:activeWritingStyle w:appName="MSWord" w:lang="nb-NO" w:vendorID="666"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A"/>
    <w:rsid w:val="00085D8D"/>
    <w:rsid w:val="000932BB"/>
    <w:rsid w:val="000A6425"/>
    <w:rsid w:val="00173240"/>
    <w:rsid w:val="001A359F"/>
    <w:rsid w:val="001D19DE"/>
    <w:rsid w:val="00292F96"/>
    <w:rsid w:val="002A0738"/>
    <w:rsid w:val="002B0FC9"/>
    <w:rsid w:val="003A6704"/>
    <w:rsid w:val="003C4371"/>
    <w:rsid w:val="003E3A97"/>
    <w:rsid w:val="00493B7C"/>
    <w:rsid w:val="00504699"/>
    <w:rsid w:val="0052314F"/>
    <w:rsid w:val="00536A3A"/>
    <w:rsid w:val="00573E8A"/>
    <w:rsid w:val="00580986"/>
    <w:rsid w:val="005E22A0"/>
    <w:rsid w:val="005F55A9"/>
    <w:rsid w:val="00615F1E"/>
    <w:rsid w:val="00622590"/>
    <w:rsid w:val="00624766"/>
    <w:rsid w:val="006B3B6D"/>
    <w:rsid w:val="006C4A37"/>
    <w:rsid w:val="006C5C63"/>
    <w:rsid w:val="00745C65"/>
    <w:rsid w:val="00760641"/>
    <w:rsid w:val="007610ED"/>
    <w:rsid w:val="00812039"/>
    <w:rsid w:val="008246A2"/>
    <w:rsid w:val="00832674"/>
    <w:rsid w:val="008327FB"/>
    <w:rsid w:val="0083653D"/>
    <w:rsid w:val="00842C02"/>
    <w:rsid w:val="00846299"/>
    <w:rsid w:val="0085049F"/>
    <w:rsid w:val="00864B0E"/>
    <w:rsid w:val="008E07A0"/>
    <w:rsid w:val="00902CC2"/>
    <w:rsid w:val="009113C4"/>
    <w:rsid w:val="00916A77"/>
    <w:rsid w:val="00945677"/>
    <w:rsid w:val="0098414A"/>
    <w:rsid w:val="009A3616"/>
    <w:rsid w:val="00A00E8D"/>
    <w:rsid w:val="00A05D45"/>
    <w:rsid w:val="00A34A1A"/>
    <w:rsid w:val="00A519E7"/>
    <w:rsid w:val="00A911F9"/>
    <w:rsid w:val="00AA79DE"/>
    <w:rsid w:val="00B9210F"/>
    <w:rsid w:val="00B969E7"/>
    <w:rsid w:val="00BB5A5D"/>
    <w:rsid w:val="00BB66A2"/>
    <w:rsid w:val="00BD0E26"/>
    <w:rsid w:val="00BE0620"/>
    <w:rsid w:val="00C131BD"/>
    <w:rsid w:val="00C22C57"/>
    <w:rsid w:val="00C400E2"/>
    <w:rsid w:val="00C65AAC"/>
    <w:rsid w:val="00C95AF4"/>
    <w:rsid w:val="00CC0557"/>
    <w:rsid w:val="00CE2FE7"/>
    <w:rsid w:val="00CE65FB"/>
    <w:rsid w:val="00D26C4E"/>
    <w:rsid w:val="00D454D7"/>
    <w:rsid w:val="00D52BD7"/>
    <w:rsid w:val="00DB3731"/>
    <w:rsid w:val="00DD7082"/>
    <w:rsid w:val="00EC39B9"/>
    <w:rsid w:val="00EC4C02"/>
    <w:rsid w:val="00ED11CB"/>
    <w:rsid w:val="00FD7B4C"/>
    <w:rsid w:val="00FF17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80F6B-9351-4F5B-ABD0-276808CA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4F"/>
    <w:pPr>
      <w:spacing w:before="120" w:after="120"/>
    </w:pPr>
    <w:rPr>
      <w:sz w:val="24"/>
      <w:szCs w:val="24"/>
    </w:rPr>
  </w:style>
  <w:style w:type="paragraph" w:styleId="Overskrift1">
    <w:name w:val="heading 1"/>
    <w:basedOn w:val="Normal"/>
    <w:next w:val="Normal"/>
    <w:link w:val="Overskrift1Tegn"/>
    <w:autoRedefine/>
    <w:qFormat/>
    <w:rsid w:val="006C5C63"/>
    <w:pPr>
      <w:keepNext/>
      <w:keepLines/>
      <w:numPr>
        <w:numId w:val="23"/>
      </w:numPr>
      <w:spacing w:before="240" w:after="0"/>
      <w:outlineLvl w:val="0"/>
    </w:pPr>
    <w:rPr>
      <w:rFonts w:eastAsiaTheme="majorEastAsia"/>
      <w:b/>
      <w:sz w:val="36"/>
      <w:szCs w:val="36"/>
      <w:lang w:val="nn-NO"/>
    </w:rPr>
  </w:style>
  <w:style w:type="paragraph" w:styleId="Overskrift2">
    <w:name w:val="heading 2"/>
    <w:basedOn w:val="Normal"/>
    <w:next w:val="Normal"/>
    <w:link w:val="Overskrift2Tegn"/>
    <w:unhideWhenUsed/>
    <w:qFormat/>
    <w:rsid w:val="006C5C63"/>
    <w:pPr>
      <w:numPr>
        <w:ilvl w:val="1"/>
        <w:numId w:val="23"/>
      </w:numPr>
      <w:outlineLvl w:val="1"/>
    </w:pPr>
    <w:rPr>
      <w:b/>
      <w:sz w:val="28"/>
      <w:lang w:val="nn-NO"/>
    </w:rPr>
  </w:style>
  <w:style w:type="paragraph" w:styleId="Overskrift3">
    <w:name w:val="heading 3"/>
    <w:basedOn w:val="Overskrift2"/>
    <w:next w:val="Normal"/>
    <w:link w:val="Overskrift3Tegn"/>
    <w:unhideWhenUsed/>
    <w:qFormat/>
    <w:rsid w:val="006C5C63"/>
    <w:pPr>
      <w:numPr>
        <w:ilvl w:val="0"/>
        <w:numId w:val="0"/>
      </w:numPr>
      <w:outlineLvl w:val="2"/>
    </w:pPr>
    <w:rPr>
      <w:sz w:val="24"/>
    </w:rPr>
  </w:style>
  <w:style w:type="paragraph" w:styleId="Overskrift4">
    <w:name w:val="heading 4"/>
    <w:basedOn w:val="Normal"/>
    <w:next w:val="Normal"/>
    <w:link w:val="Overskrift4Tegn"/>
    <w:semiHidden/>
    <w:unhideWhenUsed/>
    <w:qFormat/>
    <w:rsid w:val="0052314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52314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52314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52314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52314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52314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rsid w:val="0098414A"/>
    <w:rPr>
      <w:sz w:val="16"/>
      <w:szCs w:val="16"/>
    </w:rPr>
  </w:style>
  <w:style w:type="paragraph" w:styleId="Merknadstekst">
    <w:name w:val="annotation text"/>
    <w:basedOn w:val="Normal"/>
    <w:link w:val="MerknadstekstTegn"/>
    <w:rsid w:val="0098414A"/>
    <w:rPr>
      <w:sz w:val="20"/>
      <w:szCs w:val="20"/>
    </w:rPr>
  </w:style>
  <w:style w:type="character" w:customStyle="1" w:styleId="MerknadstekstTegn">
    <w:name w:val="Merknadstekst Tegn"/>
    <w:basedOn w:val="Standardskriftforavsnitt"/>
    <w:link w:val="Merknadstekst"/>
    <w:rsid w:val="0098414A"/>
  </w:style>
  <w:style w:type="paragraph" w:styleId="Kommentaremne">
    <w:name w:val="annotation subject"/>
    <w:basedOn w:val="Merknadstekst"/>
    <w:next w:val="Merknadstekst"/>
    <w:link w:val="KommentaremneTegn"/>
    <w:rsid w:val="0098414A"/>
    <w:rPr>
      <w:b/>
      <w:bCs/>
    </w:rPr>
  </w:style>
  <w:style w:type="character" w:customStyle="1" w:styleId="KommentaremneTegn">
    <w:name w:val="Kommentaremne Tegn"/>
    <w:basedOn w:val="MerknadstekstTegn"/>
    <w:link w:val="Kommentaremne"/>
    <w:rsid w:val="0098414A"/>
    <w:rPr>
      <w:b/>
      <w:bCs/>
    </w:rPr>
  </w:style>
  <w:style w:type="paragraph" w:styleId="Bobletekst">
    <w:name w:val="Balloon Text"/>
    <w:basedOn w:val="Normal"/>
    <w:link w:val="BobletekstTegn"/>
    <w:uiPriority w:val="99"/>
    <w:rsid w:val="0098414A"/>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rsid w:val="0098414A"/>
    <w:rPr>
      <w:rFonts w:ascii="Segoe UI" w:hAnsi="Segoe UI" w:cs="Segoe UI"/>
      <w:sz w:val="18"/>
      <w:szCs w:val="18"/>
    </w:rPr>
  </w:style>
  <w:style w:type="table" w:styleId="Tabellrutenett">
    <w:name w:val="Table Grid"/>
    <w:basedOn w:val="Vanligtabell"/>
    <w:uiPriority w:val="59"/>
    <w:rsid w:val="00984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98414A"/>
    <w:pPr>
      <w:spacing w:before="0" w:after="0"/>
    </w:pPr>
    <w:rPr>
      <w:sz w:val="20"/>
      <w:szCs w:val="20"/>
    </w:rPr>
  </w:style>
  <w:style w:type="character" w:customStyle="1" w:styleId="FotnotetekstTegn">
    <w:name w:val="Fotnotetekst Tegn"/>
    <w:basedOn w:val="Standardskriftforavsnitt"/>
    <w:link w:val="Fotnotetekst"/>
    <w:rsid w:val="0098414A"/>
  </w:style>
  <w:style w:type="character" w:styleId="Fotnotereferanse">
    <w:name w:val="footnote reference"/>
    <w:basedOn w:val="Standardskriftforavsnitt"/>
    <w:rsid w:val="0098414A"/>
    <w:rPr>
      <w:vertAlign w:val="superscript"/>
    </w:rPr>
  </w:style>
  <w:style w:type="character" w:styleId="Hyperkobling">
    <w:name w:val="Hyperlink"/>
    <w:basedOn w:val="Standardskriftforavsnitt"/>
    <w:uiPriority w:val="99"/>
    <w:rsid w:val="0098414A"/>
    <w:rPr>
      <w:color w:val="0563C1" w:themeColor="hyperlink"/>
      <w:u w:val="single"/>
    </w:rPr>
  </w:style>
  <w:style w:type="paragraph" w:styleId="Listeavsnitt">
    <w:name w:val="List Paragraph"/>
    <w:basedOn w:val="Normal"/>
    <w:uiPriority w:val="34"/>
    <w:qFormat/>
    <w:rsid w:val="0098414A"/>
    <w:pPr>
      <w:spacing w:before="0" w:after="0"/>
      <w:ind w:left="720"/>
      <w:contextualSpacing/>
    </w:pPr>
  </w:style>
  <w:style w:type="paragraph" w:styleId="Topptekst">
    <w:name w:val="header"/>
    <w:basedOn w:val="Normal"/>
    <w:link w:val="TopptekstTegn"/>
    <w:unhideWhenUsed/>
    <w:rsid w:val="0098414A"/>
    <w:pPr>
      <w:tabs>
        <w:tab w:val="center" w:pos="4536"/>
        <w:tab w:val="right" w:pos="9072"/>
      </w:tabs>
      <w:spacing w:before="0" w:after="0"/>
    </w:pPr>
  </w:style>
  <w:style w:type="character" w:customStyle="1" w:styleId="TopptekstTegn">
    <w:name w:val="Topptekst Tegn"/>
    <w:basedOn w:val="Standardskriftforavsnitt"/>
    <w:link w:val="Topptekst"/>
    <w:rsid w:val="0098414A"/>
    <w:rPr>
      <w:sz w:val="24"/>
      <w:szCs w:val="24"/>
    </w:rPr>
  </w:style>
  <w:style w:type="paragraph" w:styleId="Bunntekst">
    <w:name w:val="footer"/>
    <w:basedOn w:val="Normal"/>
    <w:link w:val="BunntekstTegn"/>
    <w:uiPriority w:val="99"/>
    <w:unhideWhenUsed/>
    <w:rsid w:val="0098414A"/>
    <w:pPr>
      <w:tabs>
        <w:tab w:val="center" w:pos="4536"/>
        <w:tab w:val="right" w:pos="9072"/>
      </w:tabs>
      <w:spacing w:before="0" w:after="0"/>
    </w:pPr>
  </w:style>
  <w:style w:type="character" w:customStyle="1" w:styleId="BunntekstTegn">
    <w:name w:val="Bunntekst Tegn"/>
    <w:basedOn w:val="Standardskriftforavsnitt"/>
    <w:link w:val="Bunntekst"/>
    <w:uiPriority w:val="99"/>
    <w:rsid w:val="0098414A"/>
    <w:rPr>
      <w:sz w:val="24"/>
      <w:szCs w:val="24"/>
    </w:rPr>
  </w:style>
  <w:style w:type="paragraph" w:styleId="NormalWeb">
    <w:name w:val="Normal (Web)"/>
    <w:basedOn w:val="Normal"/>
    <w:uiPriority w:val="99"/>
    <w:unhideWhenUsed/>
    <w:rsid w:val="0098414A"/>
    <w:pPr>
      <w:spacing w:before="100" w:beforeAutospacing="1" w:after="100" w:afterAutospacing="1"/>
    </w:pPr>
    <w:rPr>
      <w:rFonts w:eastAsiaTheme="minorEastAsia"/>
    </w:rPr>
  </w:style>
  <w:style w:type="paragraph" w:customStyle="1" w:styleId="Default">
    <w:name w:val="Default"/>
    <w:rsid w:val="0098414A"/>
    <w:pPr>
      <w:autoSpaceDE w:val="0"/>
      <w:autoSpaceDN w:val="0"/>
      <w:adjustRightInd w:val="0"/>
    </w:pPr>
    <w:rPr>
      <w:rFonts w:ascii="Georgia" w:hAnsi="Georgia" w:cs="Georgia"/>
      <w:color w:val="000000"/>
      <w:sz w:val="24"/>
      <w:szCs w:val="24"/>
    </w:rPr>
  </w:style>
  <w:style w:type="character" w:customStyle="1" w:styleId="Overskrift1Tegn">
    <w:name w:val="Overskrift 1 Tegn"/>
    <w:basedOn w:val="Standardskriftforavsnitt"/>
    <w:link w:val="Overskrift1"/>
    <w:rsid w:val="006C5C63"/>
    <w:rPr>
      <w:rFonts w:eastAsiaTheme="majorEastAsia"/>
      <w:b/>
      <w:sz w:val="36"/>
      <w:szCs w:val="36"/>
      <w:lang w:val="nn-NO"/>
    </w:rPr>
  </w:style>
  <w:style w:type="character" w:customStyle="1" w:styleId="Overskrift2Tegn">
    <w:name w:val="Overskrift 2 Tegn"/>
    <w:basedOn w:val="Standardskriftforavsnitt"/>
    <w:link w:val="Overskrift2"/>
    <w:rsid w:val="006C5C63"/>
    <w:rPr>
      <w:b/>
      <w:sz w:val="28"/>
      <w:szCs w:val="24"/>
      <w:lang w:val="nn-NO"/>
    </w:rPr>
  </w:style>
  <w:style w:type="character" w:customStyle="1" w:styleId="Overskrift3Tegn">
    <w:name w:val="Overskrift 3 Tegn"/>
    <w:basedOn w:val="Standardskriftforavsnitt"/>
    <w:link w:val="Overskrift3"/>
    <w:rsid w:val="006C5C63"/>
    <w:rPr>
      <w:b/>
      <w:sz w:val="24"/>
      <w:szCs w:val="24"/>
      <w:lang w:val="nn-NO"/>
    </w:rPr>
  </w:style>
  <w:style w:type="character" w:customStyle="1" w:styleId="Overskrift4Tegn">
    <w:name w:val="Overskrift 4 Tegn"/>
    <w:basedOn w:val="Standardskriftforavsnitt"/>
    <w:link w:val="Overskrift4"/>
    <w:semiHidden/>
    <w:rsid w:val="0052314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semiHidden/>
    <w:rsid w:val="0052314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semiHidden/>
    <w:rsid w:val="0052314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semiHidden/>
    <w:rsid w:val="0052314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semiHidden/>
    <w:rsid w:val="0052314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52314F"/>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6C5C63"/>
    <w:pPr>
      <w:numPr>
        <w:numId w:val="0"/>
      </w:numPr>
      <w:spacing w:line="259" w:lineRule="auto"/>
      <w:outlineLvl w:val="9"/>
    </w:pPr>
    <w:rPr>
      <w:rFonts w:asciiTheme="majorHAnsi" w:hAnsiTheme="majorHAnsi" w:cstheme="majorBidi"/>
      <w:b w:val="0"/>
      <w:color w:val="2E74B5" w:themeColor="accent1" w:themeShade="BF"/>
      <w:sz w:val="32"/>
      <w:szCs w:val="32"/>
      <w:lang w:val="nb-NO"/>
    </w:rPr>
  </w:style>
  <w:style w:type="paragraph" w:styleId="INNH1">
    <w:name w:val="toc 1"/>
    <w:basedOn w:val="Normal"/>
    <w:next w:val="Normal"/>
    <w:autoRedefine/>
    <w:uiPriority w:val="39"/>
    <w:rsid w:val="009A3616"/>
    <w:pPr>
      <w:tabs>
        <w:tab w:val="right" w:leader="dot" w:pos="9062"/>
      </w:tabs>
      <w:spacing w:after="100"/>
    </w:pPr>
    <w:rPr>
      <w:b/>
      <w:noProof/>
    </w:rPr>
  </w:style>
  <w:style w:type="paragraph" w:styleId="INNH3">
    <w:name w:val="toc 3"/>
    <w:basedOn w:val="Normal"/>
    <w:next w:val="Normal"/>
    <w:autoRedefine/>
    <w:uiPriority w:val="39"/>
    <w:rsid w:val="00EC39B9"/>
    <w:pPr>
      <w:tabs>
        <w:tab w:val="right" w:leader="dot" w:pos="9062"/>
      </w:tabs>
      <w:spacing w:after="100"/>
      <w:ind w:left="480"/>
    </w:pPr>
    <w:rPr>
      <w:rFonts w:eastAsiaTheme="majorEastAsia"/>
      <w:bCs/>
      <w:noProof/>
      <w:lang w:val="nn-NO"/>
    </w:rPr>
  </w:style>
  <w:style w:type="paragraph" w:styleId="INNH2">
    <w:name w:val="toc 2"/>
    <w:basedOn w:val="Normal"/>
    <w:next w:val="Normal"/>
    <w:autoRedefine/>
    <w:uiPriority w:val="39"/>
    <w:rsid w:val="006C5C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5768">
      <w:bodyDiv w:val="1"/>
      <w:marLeft w:val="0"/>
      <w:marRight w:val="0"/>
      <w:marTop w:val="0"/>
      <w:marBottom w:val="0"/>
      <w:divBdr>
        <w:top w:val="none" w:sz="0" w:space="0" w:color="auto"/>
        <w:left w:val="none" w:sz="0" w:space="0" w:color="auto"/>
        <w:bottom w:val="none" w:sz="0" w:space="0" w:color="auto"/>
        <w:right w:val="none" w:sz="0" w:space="0" w:color="auto"/>
      </w:divBdr>
    </w:div>
    <w:div w:id="10195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DD33-3BE7-47B5-8130-0CC7A810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11180</Words>
  <Characters>59257</Characters>
  <Application>Microsoft Office Word</Application>
  <DocSecurity>0</DocSecurity>
  <Lines>493</Lines>
  <Paragraphs>140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Åsulv Solstad</dc:creator>
  <cp:keywords/>
  <dc:description/>
  <cp:lastModifiedBy>Mona Larsen-Asp</cp:lastModifiedBy>
  <cp:revision>2</cp:revision>
  <cp:lastPrinted>2017-04-07T10:16:00Z</cp:lastPrinted>
  <dcterms:created xsi:type="dcterms:W3CDTF">2018-01-03T11:20:00Z</dcterms:created>
  <dcterms:modified xsi:type="dcterms:W3CDTF">2018-01-03T11:20:00Z</dcterms:modified>
</cp:coreProperties>
</file>